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46BE" w:rsidRPr="00264E03" w:rsidRDefault="001646BE" w:rsidP="00264E03">
      <w:pPr>
        <w:jc w:val="center"/>
        <w:outlineLvl w:val="0"/>
        <w:rPr>
          <w:b/>
          <w:bCs/>
          <w:sz w:val="40"/>
          <w:szCs w:val="40"/>
        </w:rPr>
      </w:pPr>
      <w:bookmarkStart w:id="0" w:name="_Toc295659605"/>
      <w:bookmarkStart w:id="1" w:name="_Toc296339001"/>
      <w:r w:rsidRPr="00264E03">
        <w:rPr>
          <w:b/>
          <w:bCs/>
          <w:sz w:val="40"/>
          <w:szCs w:val="40"/>
        </w:rPr>
        <w:t>SVEUČILIŠTE U ZAGREBU</w:t>
      </w:r>
      <w:bookmarkEnd w:id="0"/>
      <w:bookmarkEnd w:id="1"/>
    </w:p>
    <w:p w:rsidR="001646BE" w:rsidRPr="00264E03" w:rsidRDefault="001646BE" w:rsidP="00264E03">
      <w:pPr>
        <w:jc w:val="center"/>
        <w:outlineLvl w:val="0"/>
        <w:rPr>
          <w:b/>
          <w:bCs/>
          <w:sz w:val="40"/>
          <w:szCs w:val="40"/>
        </w:rPr>
      </w:pPr>
      <w:bookmarkStart w:id="2" w:name="_Toc295659606"/>
      <w:bookmarkStart w:id="3" w:name="_Toc296339002"/>
      <w:r w:rsidRPr="00264E03">
        <w:rPr>
          <w:b/>
          <w:bCs/>
          <w:sz w:val="40"/>
          <w:szCs w:val="40"/>
        </w:rPr>
        <w:t>FAKULTET PROMETNIH ZNANOSTI</w:t>
      </w:r>
      <w:bookmarkEnd w:id="2"/>
      <w:bookmarkEnd w:id="3"/>
    </w:p>
    <w:p w:rsidR="001646BE" w:rsidRDefault="001646BE" w:rsidP="00264E03">
      <w:pPr>
        <w:jc w:val="left"/>
        <w:rPr>
          <w:sz w:val="40"/>
          <w:szCs w:val="40"/>
        </w:rPr>
      </w:pPr>
    </w:p>
    <w:p w:rsidR="001646BE" w:rsidRDefault="001646BE" w:rsidP="00264E03">
      <w:pPr>
        <w:rPr>
          <w:sz w:val="40"/>
          <w:szCs w:val="40"/>
        </w:rPr>
      </w:pPr>
    </w:p>
    <w:p w:rsidR="001646BE" w:rsidRDefault="001646BE" w:rsidP="00264E03">
      <w:pPr>
        <w:jc w:val="left"/>
        <w:rPr>
          <w:sz w:val="40"/>
          <w:szCs w:val="40"/>
        </w:rPr>
      </w:pPr>
    </w:p>
    <w:p w:rsidR="001646BE" w:rsidRPr="00264E03" w:rsidRDefault="001646BE" w:rsidP="00264E03">
      <w:pPr>
        <w:jc w:val="center"/>
        <w:rPr>
          <w:b/>
          <w:bCs/>
          <w:sz w:val="36"/>
          <w:szCs w:val="36"/>
        </w:rPr>
      </w:pPr>
      <w:r>
        <w:rPr>
          <w:b/>
          <w:bCs/>
          <w:sz w:val="36"/>
          <w:szCs w:val="36"/>
        </w:rPr>
        <w:t>Tihomir Malić</w:t>
      </w:r>
    </w:p>
    <w:p w:rsidR="001646BE" w:rsidRPr="0023351C" w:rsidRDefault="001646BE" w:rsidP="00264E03">
      <w:pPr>
        <w:jc w:val="left"/>
        <w:rPr>
          <w:sz w:val="36"/>
          <w:szCs w:val="36"/>
        </w:rPr>
      </w:pPr>
    </w:p>
    <w:p w:rsidR="001646BE" w:rsidRPr="00264E03" w:rsidRDefault="001646BE" w:rsidP="00264E03">
      <w:pPr>
        <w:jc w:val="center"/>
        <w:outlineLvl w:val="0"/>
        <w:rPr>
          <w:b/>
          <w:bCs/>
          <w:sz w:val="36"/>
          <w:szCs w:val="36"/>
        </w:rPr>
      </w:pPr>
      <w:bookmarkStart w:id="4" w:name="_Toc295659607"/>
      <w:bookmarkStart w:id="5" w:name="_Toc296339003"/>
      <w:r w:rsidRPr="00264E03">
        <w:rPr>
          <w:b/>
          <w:bCs/>
          <w:sz w:val="36"/>
          <w:szCs w:val="36"/>
        </w:rPr>
        <w:t>STRATEŠKO POZICIONIRANJE HRVATSKE U SUSTAVU UPRA</w:t>
      </w:r>
      <w:r>
        <w:rPr>
          <w:b/>
          <w:bCs/>
          <w:sz w:val="36"/>
          <w:szCs w:val="36"/>
        </w:rPr>
        <w:t>VLJANJA ZRAČNIM PROMETOM SREDNJE</w:t>
      </w:r>
      <w:r w:rsidRPr="00264E03">
        <w:rPr>
          <w:b/>
          <w:bCs/>
          <w:sz w:val="36"/>
          <w:szCs w:val="36"/>
        </w:rPr>
        <w:t xml:space="preserve"> EUROPE</w:t>
      </w:r>
      <w:bookmarkEnd w:id="4"/>
      <w:bookmarkEnd w:id="5"/>
    </w:p>
    <w:p w:rsidR="001646BE" w:rsidRDefault="001646BE" w:rsidP="00264E03">
      <w:pPr>
        <w:jc w:val="center"/>
        <w:rPr>
          <w:sz w:val="28"/>
          <w:szCs w:val="28"/>
        </w:rPr>
      </w:pPr>
    </w:p>
    <w:p w:rsidR="001646BE" w:rsidRDefault="001646BE" w:rsidP="00264E03">
      <w:pPr>
        <w:jc w:val="center"/>
        <w:rPr>
          <w:sz w:val="28"/>
          <w:szCs w:val="28"/>
        </w:rPr>
      </w:pPr>
    </w:p>
    <w:p w:rsidR="001646BE" w:rsidRPr="0023351C" w:rsidRDefault="001646BE" w:rsidP="00264E03">
      <w:pPr>
        <w:jc w:val="left"/>
        <w:rPr>
          <w:sz w:val="28"/>
          <w:szCs w:val="28"/>
        </w:rPr>
      </w:pPr>
    </w:p>
    <w:p w:rsidR="001646BE" w:rsidRPr="00264E03" w:rsidRDefault="001646BE" w:rsidP="00264E03">
      <w:pPr>
        <w:jc w:val="center"/>
        <w:rPr>
          <w:b/>
          <w:bCs/>
          <w:sz w:val="36"/>
          <w:szCs w:val="36"/>
        </w:rPr>
      </w:pPr>
      <w:r w:rsidRPr="00264E03">
        <w:rPr>
          <w:b/>
          <w:bCs/>
          <w:sz w:val="36"/>
          <w:szCs w:val="36"/>
        </w:rPr>
        <w:t>DIPLOMSKI RAD</w:t>
      </w:r>
    </w:p>
    <w:p w:rsidR="001646BE" w:rsidRDefault="001646BE" w:rsidP="00264E03">
      <w:pPr>
        <w:jc w:val="left"/>
        <w:rPr>
          <w:sz w:val="40"/>
          <w:szCs w:val="40"/>
        </w:rPr>
      </w:pPr>
    </w:p>
    <w:p w:rsidR="001646BE" w:rsidRPr="00264E03" w:rsidRDefault="001646BE" w:rsidP="00264E03">
      <w:pPr>
        <w:jc w:val="center"/>
        <w:rPr>
          <w:b/>
          <w:bCs/>
          <w:sz w:val="40"/>
          <w:szCs w:val="40"/>
        </w:rPr>
      </w:pPr>
    </w:p>
    <w:p w:rsidR="001646BE" w:rsidRPr="00264E03" w:rsidRDefault="001646BE" w:rsidP="00264E03">
      <w:pPr>
        <w:jc w:val="center"/>
        <w:rPr>
          <w:b/>
          <w:bCs/>
          <w:sz w:val="36"/>
          <w:szCs w:val="36"/>
        </w:rPr>
      </w:pPr>
      <w:r w:rsidRPr="00264E03">
        <w:rPr>
          <w:b/>
          <w:bCs/>
          <w:sz w:val="40"/>
          <w:szCs w:val="40"/>
        </w:rPr>
        <w:t>Zagreb, 2011</w:t>
      </w:r>
      <w:r>
        <w:rPr>
          <w:b/>
          <w:bCs/>
          <w:sz w:val="36"/>
          <w:szCs w:val="36"/>
        </w:rPr>
        <w:t>.</w:t>
      </w:r>
    </w:p>
    <w:p w:rsidR="001646BE" w:rsidRPr="00264E03" w:rsidRDefault="001646BE" w:rsidP="00264E03">
      <w:pPr>
        <w:jc w:val="center"/>
        <w:rPr>
          <w:sz w:val="40"/>
          <w:szCs w:val="40"/>
        </w:rPr>
      </w:pPr>
      <w:r w:rsidRPr="00264E03">
        <w:rPr>
          <w:sz w:val="40"/>
          <w:szCs w:val="40"/>
        </w:rPr>
        <w:lastRenderedPageBreak/>
        <w:t>Sveučilište u Zagrebu</w:t>
      </w:r>
    </w:p>
    <w:p w:rsidR="001646BE" w:rsidRPr="00264E03" w:rsidRDefault="001646BE" w:rsidP="00264E03">
      <w:pPr>
        <w:jc w:val="center"/>
        <w:rPr>
          <w:sz w:val="40"/>
          <w:szCs w:val="40"/>
        </w:rPr>
      </w:pPr>
      <w:r w:rsidRPr="00264E03">
        <w:rPr>
          <w:sz w:val="40"/>
          <w:szCs w:val="40"/>
        </w:rPr>
        <w:t>Fakultet prometnih znanosti</w:t>
      </w:r>
    </w:p>
    <w:p w:rsidR="001646BE" w:rsidRDefault="001646BE" w:rsidP="00264E03">
      <w:pPr>
        <w:jc w:val="center"/>
        <w:rPr>
          <w:rFonts w:ascii="Calibri" w:hAnsi="Calibri" w:cs="Calibri"/>
          <w:sz w:val="40"/>
          <w:szCs w:val="40"/>
        </w:rPr>
      </w:pPr>
    </w:p>
    <w:p w:rsidR="001646BE" w:rsidRDefault="001646BE" w:rsidP="00264E03">
      <w:pPr>
        <w:rPr>
          <w:rFonts w:ascii="Calibri" w:hAnsi="Calibri" w:cs="Calibri"/>
          <w:sz w:val="40"/>
          <w:szCs w:val="40"/>
        </w:rPr>
      </w:pPr>
    </w:p>
    <w:p w:rsidR="001646BE" w:rsidRPr="00264E03" w:rsidRDefault="001646BE" w:rsidP="00264E03">
      <w:pPr>
        <w:jc w:val="center"/>
        <w:rPr>
          <w:b/>
          <w:bCs/>
          <w:sz w:val="36"/>
          <w:szCs w:val="36"/>
        </w:rPr>
      </w:pPr>
      <w:r w:rsidRPr="00264E03">
        <w:rPr>
          <w:b/>
          <w:bCs/>
          <w:sz w:val="36"/>
          <w:szCs w:val="36"/>
        </w:rPr>
        <w:t>DIPLOMSKI  RAD</w:t>
      </w:r>
    </w:p>
    <w:p w:rsidR="001646BE" w:rsidRPr="00264E03" w:rsidRDefault="001646BE" w:rsidP="00264E03">
      <w:pPr>
        <w:rPr>
          <w:b/>
          <w:bCs/>
          <w:sz w:val="40"/>
          <w:szCs w:val="40"/>
        </w:rPr>
      </w:pPr>
    </w:p>
    <w:p w:rsidR="001646BE" w:rsidRPr="00264E03" w:rsidRDefault="001646BE" w:rsidP="00264E03">
      <w:pPr>
        <w:jc w:val="center"/>
        <w:outlineLvl w:val="0"/>
        <w:rPr>
          <w:b/>
          <w:bCs/>
          <w:sz w:val="36"/>
          <w:szCs w:val="36"/>
        </w:rPr>
      </w:pPr>
      <w:bookmarkStart w:id="6" w:name="_Toc295659608"/>
      <w:bookmarkStart w:id="7" w:name="_Toc296339004"/>
      <w:r w:rsidRPr="00264E03">
        <w:rPr>
          <w:b/>
          <w:bCs/>
          <w:sz w:val="36"/>
          <w:szCs w:val="36"/>
        </w:rPr>
        <w:t>STRATEŠKO POZICIONIRANJE HRVATSKE U SUSTAVU UPRA</w:t>
      </w:r>
      <w:r>
        <w:rPr>
          <w:b/>
          <w:bCs/>
          <w:sz w:val="36"/>
          <w:szCs w:val="36"/>
        </w:rPr>
        <w:t>VLJANJA ZRAČNIM PROMETOM SREDNJE</w:t>
      </w:r>
      <w:r w:rsidRPr="00264E03">
        <w:rPr>
          <w:b/>
          <w:bCs/>
          <w:sz w:val="36"/>
          <w:szCs w:val="36"/>
        </w:rPr>
        <w:t xml:space="preserve"> EUROPE</w:t>
      </w:r>
      <w:bookmarkEnd w:id="6"/>
      <w:bookmarkEnd w:id="7"/>
    </w:p>
    <w:p w:rsidR="001646BE" w:rsidRDefault="001646BE" w:rsidP="00264E03">
      <w:pPr>
        <w:rPr>
          <w:b/>
          <w:bCs/>
          <w:sz w:val="36"/>
          <w:szCs w:val="36"/>
        </w:rPr>
      </w:pPr>
    </w:p>
    <w:p w:rsidR="001646BE" w:rsidRPr="00264E03" w:rsidRDefault="001646BE" w:rsidP="00264E03">
      <w:pPr>
        <w:rPr>
          <w:b/>
          <w:bCs/>
          <w:sz w:val="36"/>
          <w:szCs w:val="36"/>
        </w:rPr>
      </w:pPr>
    </w:p>
    <w:p w:rsidR="001646BE" w:rsidRPr="00264E03" w:rsidRDefault="001646BE" w:rsidP="00264E03">
      <w:pPr>
        <w:rPr>
          <w:sz w:val="36"/>
          <w:szCs w:val="36"/>
        </w:rPr>
      </w:pPr>
      <w:r w:rsidRPr="00264E03">
        <w:rPr>
          <w:sz w:val="36"/>
          <w:szCs w:val="36"/>
        </w:rPr>
        <w:t xml:space="preserve">Mentor:       </w:t>
      </w:r>
      <w:r>
        <w:rPr>
          <w:sz w:val="36"/>
          <w:szCs w:val="36"/>
        </w:rPr>
        <w:t>Prof. dr. sc. Sanja Steiner</w:t>
      </w:r>
    </w:p>
    <w:p w:rsidR="001646BE" w:rsidRPr="00264E03" w:rsidRDefault="001646BE" w:rsidP="00264E03">
      <w:pPr>
        <w:rPr>
          <w:sz w:val="36"/>
          <w:szCs w:val="36"/>
        </w:rPr>
      </w:pPr>
      <w:r w:rsidRPr="00264E03">
        <w:rPr>
          <w:sz w:val="36"/>
          <w:szCs w:val="36"/>
        </w:rPr>
        <w:t>Student:       Tihomir Malić, 0067349920</w:t>
      </w:r>
    </w:p>
    <w:p w:rsidR="001646BE" w:rsidRDefault="001646BE" w:rsidP="00264E03">
      <w:pPr>
        <w:jc w:val="center"/>
        <w:rPr>
          <w:sz w:val="36"/>
          <w:szCs w:val="36"/>
        </w:rPr>
      </w:pPr>
    </w:p>
    <w:p w:rsidR="001646BE" w:rsidRPr="00264E03" w:rsidRDefault="001646BE" w:rsidP="00264E03">
      <w:pPr>
        <w:rPr>
          <w:sz w:val="36"/>
          <w:szCs w:val="36"/>
        </w:rPr>
      </w:pPr>
    </w:p>
    <w:p w:rsidR="001646BE" w:rsidRPr="00264E03" w:rsidRDefault="001646BE" w:rsidP="00264E03">
      <w:pPr>
        <w:jc w:val="center"/>
        <w:rPr>
          <w:sz w:val="36"/>
          <w:szCs w:val="36"/>
        </w:rPr>
      </w:pPr>
    </w:p>
    <w:p w:rsidR="001646BE" w:rsidRPr="00264E03" w:rsidRDefault="001646BE" w:rsidP="00264E03">
      <w:pPr>
        <w:jc w:val="center"/>
        <w:rPr>
          <w:sz w:val="36"/>
          <w:szCs w:val="36"/>
        </w:rPr>
      </w:pPr>
      <w:r>
        <w:rPr>
          <w:sz w:val="36"/>
          <w:szCs w:val="36"/>
        </w:rPr>
        <w:t>Zagreb, 2011</w:t>
      </w:r>
      <w:r w:rsidRPr="00264E03">
        <w:rPr>
          <w:sz w:val="36"/>
          <w:szCs w:val="36"/>
        </w:rPr>
        <w:t>.</w:t>
      </w:r>
    </w:p>
    <w:p w:rsidR="001646BE" w:rsidRPr="00D126AF" w:rsidRDefault="001646BE" w:rsidP="00BA216E">
      <w:pPr>
        <w:pStyle w:val="Heading1"/>
        <w:numPr>
          <w:ilvl w:val="0"/>
          <w:numId w:val="0"/>
        </w:numPr>
        <w:ind w:left="720" w:hanging="360"/>
        <w:jc w:val="center"/>
      </w:pPr>
      <w:bookmarkStart w:id="8" w:name="_Toc295659609"/>
      <w:bookmarkStart w:id="9" w:name="_Toc296339005"/>
      <w:r w:rsidRPr="00160E37">
        <w:lastRenderedPageBreak/>
        <w:t>SADRŽAJ</w:t>
      </w:r>
      <w:bookmarkEnd w:id="8"/>
      <w:bookmarkEnd w:id="9"/>
    </w:p>
    <w:p w:rsidR="001646BE" w:rsidRDefault="004D5F73" w:rsidP="000D7BF0">
      <w:pPr>
        <w:pStyle w:val="TOC1"/>
        <w:rPr>
          <w:noProof/>
          <w:lang w:val="hr-HR" w:eastAsia="hr-HR"/>
        </w:rPr>
      </w:pPr>
      <w:r w:rsidRPr="004D5F73">
        <w:fldChar w:fldCharType="begin"/>
      </w:r>
      <w:r w:rsidR="001646BE">
        <w:instrText xml:space="preserve"> TOC \o "1-3" \h \z \u </w:instrText>
      </w:r>
      <w:r w:rsidRPr="004D5F73">
        <w:fldChar w:fldCharType="separate"/>
      </w:r>
    </w:p>
    <w:p w:rsidR="001646BE" w:rsidRDefault="004D5F73" w:rsidP="000D7BF0">
      <w:pPr>
        <w:pStyle w:val="TOC1"/>
        <w:rPr>
          <w:noProof/>
          <w:lang w:val="hr-HR" w:eastAsia="hr-HR"/>
        </w:rPr>
      </w:pPr>
      <w:hyperlink w:anchor="_Toc296339006" w:history="1">
        <w:r w:rsidR="001646BE" w:rsidRPr="00AD7113">
          <w:rPr>
            <w:rStyle w:val="Hyperlink"/>
            <w:noProof/>
          </w:rPr>
          <w:t xml:space="preserve">1  </w:t>
        </w:r>
        <w:r w:rsidR="001646BE">
          <w:rPr>
            <w:rStyle w:val="Hyperlink"/>
            <w:noProof/>
          </w:rPr>
          <w:tab/>
        </w:r>
        <w:r w:rsidR="001646BE" w:rsidRPr="00AD7113">
          <w:rPr>
            <w:rStyle w:val="Hyperlink"/>
            <w:noProof/>
          </w:rPr>
          <w:t>UVOD</w:t>
        </w:r>
        <w:r w:rsidR="001646BE">
          <w:rPr>
            <w:noProof/>
            <w:webHidden/>
          </w:rPr>
          <w:tab/>
          <w:t>………………………………………………………………………………….…</w:t>
        </w:r>
        <w:r>
          <w:rPr>
            <w:noProof/>
            <w:webHidden/>
          </w:rPr>
          <w:fldChar w:fldCharType="begin"/>
        </w:r>
        <w:r w:rsidR="001646BE">
          <w:rPr>
            <w:noProof/>
            <w:webHidden/>
          </w:rPr>
          <w:instrText xml:space="preserve"> PAGEREF _Toc296339006 \h </w:instrText>
        </w:r>
        <w:r>
          <w:rPr>
            <w:noProof/>
            <w:webHidden/>
          </w:rPr>
        </w:r>
        <w:r>
          <w:rPr>
            <w:noProof/>
            <w:webHidden/>
          </w:rPr>
          <w:fldChar w:fldCharType="separate"/>
        </w:r>
        <w:r w:rsidR="00031686">
          <w:rPr>
            <w:noProof/>
            <w:webHidden/>
          </w:rPr>
          <w:t>1</w:t>
        </w:r>
        <w:r>
          <w:rPr>
            <w:noProof/>
            <w:webHidden/>
          </w:rPr>
          <w:fldChar w:fldCharType="end"/>
        </w:r>
      </w:hyperlink>
    </w:p>
    <w:p w:rsidR="001646BE" w:rsidRDefault="004D5F73" w:rsidP="000D7BF0">
      <w:pPr>
        <w:pStyle w:val="TOC1"/>
        <w:rPr>
          <w:noProof/>
          <w:lang w:val="hr-HR" w:eastAsia="hr-HR"/>
        </w:rPr>
      </w:pPr>
      <w:hyperlink w:anchor="_Toc296339007" w:history="1">
        <w:r w:rsidR="001646BE" w:rsidRPr="00AD7113">
          <w:rPr>
            <w:rStyle w:val="Hyperlink"/>
            <w:noProof/>
          </w:rPr>
          <w:t>2</w:t>
        </w:r>
        <w:r w:rsidR="001646BE">
          <w:rPr>
            <w:noProof/>
            <w:lang w:val="hr-HR" w:eastAsia="hr-HR"/>
          </w:rPr>
          <w:tab/>
        </w:r>
        <w:r w:rsidR="001646BE" w:rsidRPr="00AD7113">
          <w:rPr>
            <w:rStyle w:val="Hyperlink"/>
            <w:noProof/>
          </w:rPr>
          <w:t>EUROPSKI PROGRAM „JEDINSTVENO EUROPSKO NEBO“</w:t>
        </w:r>
        <w:r w:rsidR="001646BE">
          <w:rPr>
            <w:noProof/>
            <w:webHidden/>
          </w:rPr>
          <w:tab/>
        </w:r>
        <w:r>
          <w:rPr>
            <w:noProof/>
            <w:webHidden/>
          </w:rPr>
          <w:fldChar w:fldCharType="begin"/>
        </w:r>
        <w:r w:rsidR="001646BE">
          <w:rPr>
            <w:noProof/>
            <w:webHidden/>
          </w:rPr>
          <w:instrText xml:space="preserve"> PAGEREF _Toc296339007 \h </w:instrText>
        </w:r>
        <w:r>
          <w:rPr>
            <w:noProof/>
            <w:webHidden/>
          </w:rPr>
        </w:r>
        <w:r>
          <w:rPr>
            <w:noProof/>
            <w:webHidden/>
          </w:rPr>
          <w:fldChar w:fldCharType="separate"/>
        </w:r>
        <w:r w:rsidR="00031686">
          <w:rPr>
            <w:noProof/>
            <w:webHidden/>
          </w:rPr>
          <w:t>2</w:t>
        </w:r>
        <w:r>
          <w:rPr>
            <w:noProof/>
            <w:webHidden/>
          </w:rPr>
          <w:fldChar w:fldCharType="end"/>
        </w:r>
      </w:hyperlink>
    </w:p>
    <w:p w:rsidR="001646BE" w:rsidRDefault="004D5F73">
      <w:pPr>
        <w:pStyle w:val="TOC2"/>
        <w:rPr>
          <w:noProof/>
          <w:lang w:val="hr-HR" w:eastAsia="hr-HR"/>
        </w:rPr>
      </w:pPr>
      <w:hyperlink w:anchor="_Toc296339008" w:history="1">
        <w:r w:rsidR="001646BE" w:rsidRPr="00AD7113">
          <w:rPr>
            <w:rStyle w:val="Hyperlink"/>
            <w:noProof/>
          </w:rPr>
          <w:t>2.1</w:t>
        </w:r>
        <w:r w:rsidR="001646BE">
          <w:rPr>
            <w:noProof/>
            <w:lang w:val="hr-HR" w:eastAsia="hr-HR"/>
          </w:rPr>
          <w:tab/>
        </w:r>
        <w:r w:rsidR="004346EF">
          <w:rPr>
            <w:rStyle w:val="Hyperlink"/>
            <w:noProof/>
          </w:rPr>
          <w:t>REGULATIVNI</w:t>
        </w:r>
        <w:r w:rsidR="001646BE" w:rsidRPr="00AD7113">
          <w:rPr>
            <w:rStyle w:val="Hyperlink"/>
            <w:noProof/>
          </w:rPr>
          <w:t xml:space="preserve"> USTROJ JEDINSTVENOG EUROPSKOG NEBA</w:t>
        </w:r>
        <w:r w:rsidR="001646BE">
          <w:rPr>
            <w:noProof/>
            <w:webHidden/>
          </w:rPr>
          <w:tab/>
        </w:r>
        <w:r>
          <w:rPr>
            <w:noProof/>
            <w:webHidden/>
          </w:rPr>
          <w:fldChar w:fldCharType="begin"/>
        </w:r>
        <w:r w:rsidR="001646BE">
          <w:rPr>
            <w:noProof/>
            <w:webHidden/>
          </w:rPr>
          <w:instrText xml:space="preserve"> PAGEREF _Toc296339008 \h </w:instrText>
        </w:r>
        <w:r>
          <w:rPr>
            <w:noProof/>
            <w:webHidden/>
          </w:rPr>
        </w:r>
        <w:r>
          <w:rPr>
            <w:noProof/>
            <w:webHidden/>
          </w:rPr>
          <w:fldChar w:fldCharType="separate"/>
        </w:r>
        <w:r w:rsidR="00031686">
          <w:rPr>
            <w:noProof/>
            <w:webHidden/>
          </w:rPr>
          <w:t>4</w:t>
        </w:r>
        <w:r>
          <w:rPr>
            <w:noProof/>
            <w:webHidden/>
          </w:rPr>
          <w:fldChar w:fldCharType="end"/>
        </w:r>
      </w:hyperlink>
    </w:p>
    <w:p w:rsidR="001646BE" w:rsidRDefault="004D5F73">
      <w:pPr>
        <w:pStyle w:val="TOC3"/>
        <w:tabs>
          <w:tab w:val="left" w:pos="1320"/>
          <w:tab w:val="right" w:leader="dot" w:pos="9062"/>
        </w:tabs>
        <w:rPr>
          <w:noProof/>
          <w:lang w:val="hr-HR" w:eastAsia="hr-HR"/>
        </w:rPr>
      </w:pPr>
      <w:hyperlink w:anchor="_Toc296339009" w:history="1">
        <w:r w:rsidR="001646BE" w:rsidRPr="00AD7113">
          <w:rPr>
            <w:rStyle w:val="Hyperlink"/>
            <w:noProof/>
          </w:rPr>
          <w:t>2.1.1</w:t>
        </w:r>
        <w:r w:rsidR="001646BE">
          <w:rPr>
            <w:noProof/>
            <w:lang w:val="hr-HR" w:eastAsia="hr-HR"/>
          </w:rPr>
          <w:tab/>
        </w:r>
        <w:r w:rsidR="001646BE" w:rsidRPr="00AD7113">
          <w:rPr>
            <w:rStyle w:val="Hyperlink"/>
            <w:noProof/>
          </w:rPr>
          <w:t>OKVIR ZA STVARANJE JEDINSTVENOG EUROPSKOG NEBA</w:t>
        </w:r>
        <w:r w:rsidR="001646BE">
          <w:rPr>
            <w:noProof/>
            <w:webHidden/>
          </w:rPr>
          <w:tab/>
        </w:r>
        <w:r>
          <w:rPr>
            <w:noProof/>
            <w:webHidden/>
          </w:rPr>
          <w:fldChar w:fldCharType="begin"/>
        </w:r>
        <w:r w:rsidR="001646BE">
          <w:rPr>
            <w:noProof/>
            <w:webHidden/>
          </w:rPr>
          <w:instrText xml:space="preserve"> PAGEREF _Toc296339009 \h </w:instrText>
        </w:r>
        <w:r>
          <w:rPr>
            <w:noProof/>
            <w:webHidden/>
          </w:rPr>
        </w:r>
        <w:r>
          <w:rPr>
            <w:noProof/>
            <w:webHidden/>
          </w:rPr>
          <w:fldChar w:fldCharType="separate"/>
        </w:r>
        <w:r w:rsidR="00031686">
          <w:rPr>
            <w:noProof/>
            <w:webHidden/>
          </w:rPr>
          <w:t>5</w:t>
        </w:r>
        <w:r>
          <w:rPr>
            <w:noProof/>
            <w:webHidden/>
          </w:rPr>
          <w:fldChar w:fldCharType="end"/>
        </w:r>
      </w:hyperlink>
    </w:p>
    <w:p w:rsidR="001646BE" w:rsidRDefault="004D5F73" w:rsidP="000D7BF0">
      <w:pPr>
        <w:pStyle w:val="TOC3"/>
        <w:tabs>
          <w:tab w:val="left" w:pos="1320"/>
          <w:tab w:val="right" w:leader="dot" w:pos="9062"/>
        </w:tabs>
        <w:ind w:left="1320" w:hanging="880"/>
        <w:rPr>
          <w:noProof/>
          <w:lang w:val="hr-HR" w:eastAsia="hr-HR"/>
        </w:rPr>
      </w:pPr>
      <w:hyperlink w:anchor="_Toc296339010" w:history="1">
        <w:r w:rsidR="001646BE" w:rsidRPr="00AD7113">
          <w:rPr>
            <w:rStyle w:val="Hyperlink"/>
            <w:noProof/>
          </w:rPr>
          <w:t>2.1.2</w:t>
        </w:r>
        <w:r w:rsidR="001646BE">
          <w:rPr>
            <w:noProof/>
            <w:lang w:val="hr-HR" w:eastAsia="hr-HR"/>
          </w:rPr>
          <w:tab/>
        </w:r>
        <w:r w:rsidR="001646BE" w:rsidRPr="00AD7113">
          <w:rPr>
            <w:rStyle w:val="Hyperlink"/>
            <w:noProof/>
          </w:rPr>
          <w:t>PRUŽANJE USLUGA U ZRAČNOJ PLOVIDBI U  JEDINSTVENOM  EUROPSKOM NEBU</w:t>
        </w:r>
        <w:r w:rsidR="001646BE">
          <w:rPr>
            <w:noProof/>
            <w:webHidden/>
          </w:rPr>
          <w:tab/>
        </w:r>
        <w:r>
          <w:rPr>
            <w:noProof/>
            <w:webHidden/>
          </w:rPr>
          <w:fldChar w:fldCharType="begin"/>
        </w:r>
        <w:r w:rsidR="001646BE">
          <w:rPr>
            <w:noProof/>
            <w:webHidden/>
          </w:rPr>
          <w:instrText xml:space="preserve"> PAGEREF _Toc296339010 \h </w:instrText>
        </w:r>
        <w:r>
          <w:rPr>
            <w:noProof/>
            <w:webHidden/>
          </w:rPr>
        </w:r>
        <w:r>
          <w:rPr>
            <w:noProof/>
            <w:webHidden/>
          </w:rPr>
          <w:fldChar w:fldCharType="separate"/>
        </w:r>
        <w:r w:rsidR="00031686">
          <w:rPr>
            <w:noProof/>
            <w:webHidden/>
          </w:rPr>
          <w:t>8</w:t>
        </w:r>
        <w:r>
          <w:rPr>
            <w:noProof/>
            <w:webHidden/>
          </w:rPr>
          <w:fldChar w:fldCharType="end"/>
        </w:r>
      </w:hyperlink>
    </w:p>
    <w:p w:rsidR="001646BE" w:rsidRDefault="004D5F73" w:rsidP="000D7BF0">
      <w:pPr>
        <w:pStyle w:val="TOC3"/>
        <w:tabs>
          <w:tab w:val="left" w:pos="1320"/>
          <w:tab w:val="right" w:leader="dot" w:pos="9062"/>
        </w:tabs>
        <w:ind w:left="1320" w:hanging="880"/>
        <w:rPr>
          <w:noProof/>
          <w:lang w:val="hr-HR" w:eastAsia="hr-HR"/>
        </w:rPr>
      </w:pPr>
      <w:hyperlink w:anchor="_Toc296339011" w:history="1">
        <w:r w:rsidR="001646BE" w:rsidRPr="00AD7113">
          <w:rPr>
            <w:rStyle w:val="Hyperlink"/>
            <w:noProof/>
          </w:rPr>
          <w:t>2.1.3</w:t>
        </w:r>
        <w:r w:rsidR="001646BE">
          <w:rPr>
            <w:noProof/>
            <w:lang w:val="hr-HR" w:eastAsia="hr-HR"/>
          </w:rPr>
          <w:tab/>
        </w:r>
        <w:r w:rsidR="001646BE" w:rsidRPr="00AD7113">
          <w:rPr>
            <w:rStyle w:val="Hyperlink"/>
            <w:noProof/>
          </w:rPr>
          <w:t>ORGANIZACIJA I UPOTREBA ZRAČNOG PROSTORA U JEDINSTVENOM EUROPSKOM NEBU</w:t>
        </w:r>
        <w:r w:rsidR="001646BE">
          <w:rPr>
            <w:noProof/>
            <w:webHidden/>
          </w:rPr>
          <w:tab/>
        </w:r>
        <w:r>
          <w:rPr>
            <w:noProof/>
            <w:webHidden/>
          </w:rPr>
          <w:fldChar w:fldCharType="begin"/>
        </w:r>
        <w:r w:rsidR="001646BE">
          <w:rPr>
            <w:noProof/>
            <w:webHidden/>
          </w:rPr>
          <w:instrText xml:space="preserve"> PAGEREF _Toc296339011 \h </w:instrText>
        </w:r>
        <w:r>
          <w:rPr>
            <w:noProof/>
            <w:webHidden/>
          </w:rPr>
        </w:r>
        <w:r>
          <w:rPr>
            <w:noProof/>
            <w:webHidden/>
          </w:rPr>
          <w:fldChar w:fldCharType="separate"/>
        </w:r>
        <w:r w:rsidR="00031686">
          <w:rPr>
            <w:noProof/>
            <w:webHidden/>
          </w:rPr>
          <w:t>12</w:t>
        </w:r>
        <w:r>
          <w:rPr>
            <w:noProof/>
            <w:webHidden/>
          </w:rPr>
          <w:fldChar w:fldCharType="end"/>
        </w:r>
      </w:hyperlink>
    </w:p>
    <w:p w:rsidR="001646BE" w:rsidRDefault="004D5F73" w:rsidP="000D7BF0">
      <w:pPr>
        <w:pStyle w:val="TOC3"/>
        <w:tabs>
          <w:tab w:val="left" w:pos="1320"/>
          <w:tab w:val="right" w:leader="dot" w:pos="9062"/>
        </w:tabs>
        <w:ind w:left="1320" w:hanging="880"/>
        <w:rPr>
          <w:noProof/>
          <w:lang w:val="hr-HR" w:eastAsia="hr-HR"/>
        </w:rPr>
      </w:pPr>
      <w:hyperlink w:anchor="_Toc296339012" w:history="1">
        <w:r w:rsidR="001646BE" w:rsidRPr="00AD7113">
          <w:rPr>
            <w:rStyle w:val="Hyperlink"/>
            <w:noProof/>
          </w:rPr>
          <w:t>2.1.4</w:t>
        </w:r>
        <w:r w:rsidR="001646BE">
          <w:rPr>
            <w:noProof/>
            <w:lang w:val="hr-HR" w:eastAsia="hr-HR"/>
          </w:rPr>
          <w:tab/>
        </w:r>
        <w:r w:rsidR="001646BE" w:rsidRPr="00AD7113">
          <w:rPr>
            <w:rStyle w:val="Hyperlink"/>
            <w:noProof/>
          </w:rPr>
          <w:t>INTEROPERABILNOST EUROPSKE MREŽE ZA UPRAVLJANJE ZRAČNIM PROMETOM</w:t>
        </w:r>
        <w:r w:rsidR="001646BE">
          <w:rPr>
            <w:noProof/>
            <w:webHidden/>
          </w:rPr>
          <w:tab/>
        </w:r>
        <w:r>
          <w:rPr>
            <w:noProof/>
            <w:webHidden/>
          </w:rPr>
          <w:fldChar w:fldCharType="begin"/>
        </w:r>
        <w:r w:rsidR="001646BE">
          <w:rPr>
            <w:noProof/>
            <w:webHidden/>
          </w:rPr>
          <w:instrText xml:space="preserve"> PAGEREF _Toc296339012 \h </w:instrText>
        </w:r>
        <w:r>
          <w:rPr>
            <w:noProof/>
            <w:webHidden/>
          </w:rPr>
        </w:r>
        <w:r>
          <w:rPr>
            <w:noProof/>
            <w:webHidden/>
          </w:rPr>
          <w:fldChar w:fldCharType="separate"/>
        </w:r>
        <w:r w:rsidR="00031686">
          <w:rPr>
            <w:noProof/>
            <w:webHidden/>
          </w:rPr>
          <w:t>14</w:t>
        </w:r>
        <w:r>
          <w:rPr>
            <w:noProof/>
            <w:webHidden/>
          </w:rPr>
          <w:fldChar w:fldCharType="end"/>
        </w:r>
      </w:hyperlink>
    </w:p>
    <w:p w:rsidR="001646BE" w:rsidRDefault="004D5F73">
      <w:pPr>
        <w:pStyle w:val="TOC2"/>
        <w:rPr>
          <w:noProof/>
          <w:lang w:val="hr-HR" w:eastAsia="hr-HR"/>
        </w:rPr>
      </w:pPr>
      <w:hyperlink w:anchor="_Toc296339013" w:history="1">
        <w:r w:rsidR="001646BE" w:rsidRPr="00AD7113">
          <w:rPr>
            <w:rStyle w:val="Hyperlink"/>
            <w:noProof/>
          </w:rPr>
          <w:t>2.2</w:t>
        </w:r>
        <w:r w:rsidR="001646BE">
          <w:rPr>
            <w:noProof/>
            <w:lang w:val="hr-HR" w:eastAsia="hr-HR"/>
          </w:rPr>
          <w:tab/>
        </w:r>
        <w:r w:rsidR="001646BE" w:rsidRPr="00AD7113">
          <w:rPr>
            <w:rStyle w:val="Hyperlink"/>
            <w:noProof/>
          </w:rPr>
          <w:t xml:space="preserve">DRUGI </w:t>
        </w:r>
        <w:r w:rsidR="004346EF">
          <w:rPr>
            <w:rStyle w:val="Hyperlink"/>
            <w:noProof/>
          </w:rPr>
          <w:t>REGULATIVNI</w:t>
        </w:r>
        <w:r w:rsidR="001646BE" w:rsidRPr="00AD7113">
          <w:rPr>
            <w:rStyle w:val="Hyperlink"/>
            <w:noProof/>
          </w:rPr>
          <w:t xml:space="preserve"> PAKET JEDINSTVENOG EUROPSKOG NEBA</w:t>
        </w:r>
        <w:r w:rsidR="001646BE">
          <w:rPr>
            <w:noProof/>
            <w:webHidden/>
          </w:rPr>
          <w:tab/>
        </w:r>
        <w:r>
          <w:rPr>
            <w:noProof/>
            <w:webHidden/>
          </w:rPr>
          <w:fldChar w:fldCharType="begin"/>
        </w:r>
        <w:r w:rsidR="001646BE">
          <w:rPr>
            <w:noProof/>
            <w:webHidden/>
          </w:rPr>
          <w:instrText xml:space="preserve"> PAGEREF _Toc296339013 \h </w:instrText>
        </w:r>
        <w:r>
          <w:rPr>
            <w:noProof/>
            <w:webHidden/>
          </w:rPr>
        </w:r>
        <w:r>
          <w:rPr>
            <w:noProof/>
            <w:webHidden/>
          </w:rPr>
          <w:fldChar w:fldCharType="separate"/>
        </w:r>
        <w:r w:rsidR="00031686">
          <w:rPr>
            <w:noProof/>
            <w:webHidden/>
          </w:rPr>
          <w:t>16</w:t>
        </w:r>
        <w:r>
          <w:rPr>
            <w:noProof/>
            <w:webHidden/>
          </w:rPr>
          <w:fldChar w:fldCharType="end"/>
        </w:r>
      </w:hyperlink>
    </w:p>
    <w:p w:rsidR="001646BE" w:rsidRDefault="004D5F73">
      <w:pPr>
        <w:pStyle w:val="TOC3"/>
        <w:tabs>
          <w:tab w:val="left" w:pos="1320"/>
          <w:tab w:val="right" w:leader="dot" w:pos="9062"/>
        </w:tabs>
        <w:rPr>
          <w:noProof/>
          <w:lang w:val="hr-HR" w:eastAsia="hr-HR"/>
        </w:rPr>
      </w:pPr>
      <w:hyperlink w:anchor="_Toc296339014" w:history="1">
        <w:r w:rsidR="001646BE" w:rsidRPr="00AD7113">
          <w:rPr>
            <w:rStyle w:val="Hyperlink"/>
            <w:noProof/>
          </w:rPr>
          <w:t>2.2.1</w:t>
        </w:r>
        <w:r w:rsidR="001646BE">
          <w:rPr>
            <w:noProof/>
            <w:lang w:val="hr-HR" w:eastAsia="hr-HR"/>
          </w:rPr>
          <w:tab/>
        </w:r>
        <w:r w:rsidR="001646BE" w:rsidRPr="00AD7113">
          <w:rPr>
            <w:rStyle w:val="Hyperlink"/>
            <w:noProof/>
          </w:rPr>
          <w:t>REGULACIJA PERFORMANSI ATM-a U EUROPI</w:t>
        </w:r>
        <w:r w:rsidR="001646BE">
          <w:rPr>
            <w:noProof/>
            <w:webHidden/>
          </w:rPr>
          <w:tab/>
        </w:r>
        <w:r>
          <w:rPr>
            <w:noProof/>
            <w:webHidden/>
          </w:rPr>
          <w:fldChar w:fldCharType="begin"/>
        </w:r>
        <w:r w:rsidR="001646BE">
          <w:rPr>
            <w:noProof/>
            <w:webHidden/>
          </w:rPr>
          <w:instrText xml:space="preserve"> PAGEREF _Toc296339014 \h </w:instrText>
        </w:r>
        <w:r>
          <w:rPr>
            <w:noProof/>
            <w:webHidden/>
          </w:rPr>
        </w:r>
        <w:r>
          <w:rPr>
            <w:noProof/>
            <w:webHidden/>
          </w:rPr>
          <w:fldChar w:fldCharType="separate"/>
        </w:r>
        <w:r w:rsidR="00031686">
          <w:rPr>
            <w:noProof/>
            <w:webHidden/>
          </w:rPr>
          <w:t>18</w:t>
        </w:r>
        <w:r>
          <w:rPr>
            <w:noProof/>
            <w:webHidden/>
          </w:rPr>
          <w:fldChar w:fldCharType="end"/>
        </w:r>
      </w:hyperlink>
    </w:p>
    <w:p w:rsidR="001646BE" w:rsidRDefault="004D5F73">
      <w:pPr>
        <w:pStyle w:val="TOC3"/>
        <w:tabs>
          <w:tab w:val="left" w:pos="1320"/>
          <w:tab w:val="right" w:leader="dot" w:pos="9062"/>
        </w:tabs>
        <w:rPr>
          <w:noProof/>
          <w:lang w:val="hr-HR" w:eastAsia="hr-HR"/>
        </w:rPr>
      </w:pPr>
      <w:hyperlink w:anchor="_Toc296339015" w:history="1">
        <w:r w:rsidR="001646BE" w:rsidRPr="00AD7113">
          <w:rPr>
            <w:rStyle w:val="Hyperlink"/>
            <w:noProof/>
          </w:rPr>
          <w:t>2.2.2</w:t>
        </w:r>
        <w:r w:rsidR="001646BE">
          <w:rPr>
            <w:noProof/>
            <w:lang w:val="hr-HR" w:eastAsia="hr-HR"/>
          </w:rPr>
          <w:tab/>
        </w:r>
        <w:r w:rsidR="001646BE" w:rsidRPr="00AD7113">
          <w:rPr>
            <w:rStyle w:val="Hyperlink"/>
            <w:noProof/>
          </w:rPr>
          <w:t>SIGURNOSNI OKVIR JEDINSTVENOG EUROPSKOG NEBA</w:t>
        </w:r>
        <w:r w:rsidR="001646BE">
          <w:rPr>
            <w:noProof/>
            <w:webHidden/>
          </w:rPr>
          <w:tab/>
        </w:r>
        <w:r>
          <w:rPr>
            <w:noProof/>
            <w:webHidden/>
          </w:rPr>
          <w:fldChar w:fldCharType="begin"/>
        </w:r>
        <w:r w:rsidR="001646BE">
          <w:rPr>
            <w:noProof/>
            <w:webHidden/>
          </w:rPr>
          <w:instrText xml:space="preserve"> PAGEREF _Toc296339015 \h </w:instrText>
        </w:r>
        <w:r>
          <w:rPr>
            <w:noProof/>
            <w:webHidden/>
          </w:rPr>
        </w:r>
        <w:r>
          <w:rPr>
            <w:noProof/>
            <w:webHidden/>
          </w:rPr>
          <w:fldChar w:fldCharType="separate"/>
        </w:r>
        <w:r w:rsidR="00031686">
          <w:rPr>
            <w:noProof/>
            <w:webHidden/>
          </w:rPr>
          <w:t>22</w:t>
        </w:r>
        <w:r>
          <w:rPr>
            <w:noProof/>
            <w:webHidden/>
          </w:rPr>
          <w:fldChar w:fldCharType="end"/>
        </w:r>
      </w:hyperlink>
    </w:p>
    <w:p w:rsidR="001646BE" w:rsidRDefault="004D5F73">
      <w:pPr>
        <w:pStyle w:val="TOC3"/>
        <w:tabs>
          <w:tab w:val="right" w:leader="dot" w:pos="9062"/>
        </w:tabs>
        <w:rPr>
          <w:noProof/>
          <w:lang w:val="hr-HR" w:eastAsia="hr-HR"/>
        </w:rPr>
      </w:pPr>
      <w:hyperlink w:anchor="_Toc296339016" w:history="1">
        <w:r w:rsidR="001646BE" w:rsidRPr="00AD7113">
          <w:rPr>
            <w:rStyle w:val="Hyperlink"/>
            <w:noProof/>
          </w:rPr>
          <w:t>2</w:t>
        </w:r>
        <w:r w:rsidR="001646BE">
          <w:rPr>
            <w:rStyle w:val="Hyperlink"/>
            <w:noProof/>
          </w:rPr>
          <w:t xml:space="preserve">.2.3        </w:t>
        </w:r>
        <w:r w:rsidR="001646BE" w:rsidRPr="00AD7113">
          <w:rPr>
            <w:rStyle w:val="Hyperlink"/>
            <w:noProof/>
          </w:rPr>
          <w:t>RAZVOJ NOVIH TEHNOLOGIJA</w:t>
        </w:r>
        <w:r w:rsidR="001646BE">
          <w:rPr>
            <w:noProof/>
            <w:webHidden/>
          </w:rPr>
          <w:tab/>
        </w:r>
        <w:r>
          <w:rPr>
            <w:noProof/>
            <w:webHidden/>
          </w:rPr>
          <w:fldChar w:fldCharType="begin"/>
        </w:r>
        <w:r w:rsidR="001646BE">
          <w:rPr>
            <w:noProof/>
            <w:webHidden/>
          </w:rPr>
          <w:instrText xml:space="preserve"> PAGEREF _Toc296339016 \h </w:instrText>
        </w:r>
        <w:r>
          <w:rPr>
            <w:noProof/>
            <w:webHidden/>
          </w:rPr>
        </w:r>
        <w:r>
          <w:rPr>
            <w:noProof/>
            <w:webHidden/>
          </w:rPr>
          <w:fldChar w:fldCharType="separate"/>
        </w:r>
        <w:r w:rsidR="00031686">
          <w:rPr>
            <w:noProof/>
            <w:webHidden/>
          </w:rPr>
          <w:t>23</w:t>
        </w:r>
        <w:r>
          <w:rPr>
            <w:noProof/>
            <w:webHidden/>
          </w:rPr>
          <w:fldChar w:fldCharType="end"/>
        </w:r>
      </w:hyperlink>
    </w:p>
    <w:p w:rsidR="001646BE" w:rsidRDefault="004D5F73">
      <w:pPr>
        <w:pStyle w:val="TOC3"/>
        <w:tabs>
          <w:tab w:val="left" w:pos="1320"/>
          <w:tab w:val="right" w:leader="dot" w:pos="9062"/>
        </w:tabs>
        <w:rPr>
          <w:noProof/>
          <w:lang w:val="hr-HR" w:eastAsia="hr-HR"/>
        </w:rPr>
      </w:pPr>
      <w:hyperlink w:anchor="_Toc296339017" w:history="1">
        <w:r w:rsidR="001646BE" w:rsidRPr="00AD7113">
          <w:rPr>
            <w:rStyle w:val="Hyperlink"/>
            <w:noProof/>
          </w:rPr>
          <w:t>2.2.4</w:t>
        </w:r>
        <w:r w:rsidR="001646BE">
          <w:rPr>
            <w:noProof/>
            <w:lang w:val="hr-HR" w:eastAsia="hr-HR"/>
          </w:rPr>
          <w:t xml:space="preserve"> </w:t>
        </w:r>
        <w:r w:rsidR="001646BE">
          <w:rPr>
            <w:noProof/>
            <w:lang w:val="hr-HR" w:eastAsia="hr-HR"/>
          </w:rPr>
          <w:tab/>
        </w:r>
        <w:r w:rsidR="001646BE" w:rsidRPr="00AD7113">
          <w:rPr>
            <w:rStyle w:val="Hyperlink"/>
            <w:noProof/>
          </w:rPr>
          <w:t>UPRAVLJANJE AERODROMSKIM KAPACITETIMA</w:t>
        </w:r>
        <w:r w:rsidR="001646BE">
          <w:rPr>
            <w:noProof/>
            <w:webHidden/>
          </w:rPr>
          <w:tab/>
        </w:r>
        <w:r>
          <w:rPr>
            <w:noProof/>
            <w:webHidden/>
          </w:rPr>
          <w:fldChar w:fldCharType="begin"/>
        </w:r>
        <w:r w:rsidR="001646BE">
          <w:rPr>
            <w:noProof/>
            <w:webHidden/>
          </w:rPr>
          <w:instrText xml:space="preserve"> PAGEREF _Toc296339017 \h </w:instrText>
        </w:r>
        <w:r>
          <w:rPr>
            <w:noProof/>
            <w:webHidden/>
          </w:rPr>
        </w:r>
        <w:r>
          <w:rPr>
            <w:noProof/>
            <w:webHidden/>
          </w:rPr>
          <w:fldChar w:fldCharType="separate"/>
        </w:r>
        <w:r w:rsidR="00031686">
          <w:rPr>
            <w:noProof/>
            <w:webHidden/>
          </w:rPr>
          <w:t>25</w:t>
        </w:r>
        <w:r>
          <w:rPr>
            <w:noProof/>
            <w:webHidden/>
          </w:rPr>
          <w:fldChar w:fldCharType="end"/>
        </w:r>
      </w:hyperlink>
    </w:p>
    <w:p w:rsidR="001646BE" w:rsidRDefault="004D5F73" w:rsidP="000D7BF0">
      <w:pPr>
        <w:pStyle w:val="TOC1"/>
        <w:rPr>
          <w:noProof/>
          <w:lang w:val="hr-HR" w:eastAsia="hr-HR"/>
        </w:rPr>
      </w:pPr>
      <w:hyperlink w:anchor="_Toc296339018" w:history="1">
        <w:r w:rsidR="001646BE" w:rsidRPr="00AD7113">
          <w:rPr>
            <w:rStyle w:val="Hyperlink"/>
            <w:noProof/>
          </w:rPr>
          <w:t>3</w:t>
        </w:r>
        <w:r w:rsidR="001646BE">
          <w:rPr>
            <w:noProof/>
            <w:lang w:val="hr-HR" w:eastAsia="hr-HR"/>
          </w:rPr>
          <w:tab/>
        </w:r>
        <w:r w:rsidR="001646BE" w:rsidRPr="00AD7113">
          <w:rPr>
            <w:rStyle w:val="Hyperlink"/>
            <w:noProof/>
          </w:rPr>
          <w:t xml:space="preserve">REGIONALIZACIJA EUROPSKOG SUSTAVA UPRAVLJANJA ZRAČNIM </w:t>
        </w:r>
        <w:r w:rsidR="001646BE">
          <w:rPr>
            <w:rStyle w:val="Hyperlink"/>
            <w:noProof/>
          </w:rPr>
          <w:t xml:space="preserve">    </w:t>
        </w:r>
        <w:r w:rsidR="001646BE" w:rsidRPr="00AD7113">
          <w:rPr>
            <w:rStyle w:val="Hyperlink"/>
            <w:noProof/>
          </w:rPr>
          <w:t>PROMETOM</w:t>
        </w:r>
        <w:r w:rsidR="001646BE">
          <w:rPr>
            <w:noProof/>
            <w:webHidden/>
          </w:rPr>
          <w:tab/>
        </w:r>
        <w:r>
          <w:rPr>
            <w:noProof/>
            <w:webHidden/>
          </w:rPr>
          <w:fldChar w:fldCharType="begin"/>
        </w:r>
        <w:r w:rsidR="001646BE">
          <w:rPr>
            <w:noProof/>
            <w:webHidden/>
          </w:rPr>
          <w:instrText xml:space="preserve"> PAGEREF _Toc296339018 \h </w:instrText>
        </w:r>
        <w:r>
          <w:rPr>
            <w:noProof/>
            <w:webHidden/>
          </w:rPr>
        </w:r>
        <w:r>
          <w:rPr>
            <w:noProof/>
            <w:webHidden/>
          </w:rPr>
          <w:fldChar w:fldCharType="separate"/>
        </w:r>
        <w:r w:rsidR="00031686">
          <w:rPr>
            <w:noProof/>
            <w:webHidden/>
          </w:rPr>
          <w:t>26</w:t>
        </w:r>
        <w:r>
          <w:rPr>
            <w:noProof/>
            <w:webHidden/>
          </w:rPr>
          <w:fldChar w:fldCharType="end"/>
        </w:r>
      </w:hyperlink>
    </w:p>
    <w:p w:rsidR="001646BE" w:rsidRDefault="004D5F73">
      <w:pPr>
        <w:pStyle w:val="TOC2"/>
        <w:rPr>
          <w:noProof/>
          <w:lang w:val="hr-HR" w:eastAsia="hr-HR"/>
        </w:rPr>
      </w:pPr>
      <w:hyperlink w:anchor="_Toc296339019" w:history="1">
        <w:r w:rsidR="001646BE" w:rsidRPr="00AD7113">
          <w:rPr>
            <w:rStyle w:val="Hyperlink"/>
            <w:noProof/>
          </w:rPr>
          <w:t>3.1</w:t>
        </w:r>
        <w:r w:rsidR="001646BE">
          <w:rPr>
            <w:noProof/>
            <w:lang w:val="hr-HR" w:eastAsia="hr-HR"/>
          </w:rPr>
          <w:tab/>
        </w:r>
        <w:r w:rsidR="001646BE" w:rsidRPr="00AD7113">
          <w:rPr>
            <w:rStyle w:val="Hyperlink"/>
            <w:noProof/>
          </w:rPr>
          <w:t>KONCEPT FUNKCIONALNOG BLOKA ZRAČNOG PROSTORA</w:t>
        </w:r>
        <w:r w:rsidR="001646BE">
          <w:rPr>
            <w:noProof/>
            <w:webHidden/>
          </w:rPr>
          <w:tab/>
        </w:r>
        <w:r>
          <w:rPr>
            <w:noProof/>
            <w:webHidden/>
          </w:rPr>
          <w:fldChar w:fldCharType="begin"/>
        </w:r>
        <w:r w:rsidR="001646BE">
          <w:rPr>
            <w:noProof/>
            <w:webHidden/>
          </w:rPr>
          <w:instrText xml:space="preserve"> PAGEREF _Toc296339019 \h </w:instrText>
        </w:r>
        <w:r>
          <w:rPr>
            <w:noProof/>
            <w:webHidden/>
          </w:rPr>
        </w:r>
        <w:r>
          <w:rPr>
            <w:noProof/>
            <w:webHidden/>
          </w:rPr>
          <w:fldChar w:fldCharType="separate"/>
        </w:r>
        <w:r w:rsidR="00031686">
          <w:rPr>
            <w:noProof/>
            <w:webHidden/>
          </w:rPr>
          <w:t>27</w:t>
        </w:r>
        <w:r>
          <w:rPr>
            <w:noProof/>
            <w:webHidden/>
          </w:rPr>
          <w:fldChar w:fldCharType="end"/>
        </w:r>
      </w:hyperlink>
    </w:p>
    <w:p w:rsidR="001646BE" w:rsidRDefault="004D5F73">
      <w:pPr>
        <w:pStyle w:val="TOC2"/>
        <w:rPr>
          <w:noProof/>
          <w:lang w:val="hr-HR" w:eastAsia="hr-HR"/>
        </w:rPr>
      </w:pPr>
      <w:hyperlink w:anchor="_Toc296339020" w:history="1">
        <w:r w:rsidR="001646BE" w:rsidRPr="00AD7113">
          <w:rPr>
            <w:rStyle w:val="Hyperlink"/>
            <w:noProof/>
          </w:rPr>
          <w:t>3.2</w:t>
        </w:r>
        <w:r w:rsidR="001646BE">
          <w:rPr>
            <w:noProof/>
            <w:lang w:val="hr-HR" w:eastAsia="hr-HR"/>
          </w:rPr>
          <w:tab/>
        </w:r>
        <w:r w:rsidR="001646BE" w:rsidRPr="00AD7113">
          <w:rPr>
            <w:rStyle w:val="Hyperlink"/>
            <w:noProof/>
          </w:rPr>
          <w:t>VALORIZACIJA FUNKCIONALNIH BLOKOVA ZRAČNOG PROSTORA</w:t>
        </w:r>
        <w:r w:rsidR="001646BE">
          <w:rPr>
            <w:noProof/>
            <w:webHidden/>
          </w:rPr>
          <w:tab/>
        </w:r>
        <w:r>
          <w:rPr>
            <w:noProof/>
            <w:webHidden/>
          </w:rPr>
          <w:fldChar w:fldCharType="begin"/>
        </w:r>
        <w:r w:rsidR="001646BE">
          <w:rPr>
            <w:noProof/>
            <w:webHidden/>
          </w:rPr>
          <w:instrText xml:space="preserve"> PAGEREF _Toc296339020 \h </w:instrText>
        </w:r>
        <w:r>
          <w:rPr>
            <w:noProof/>
            <w:webHidden/>
          </w:rPr>
        </w:r>
        <w:r>
          <w:rPr>
            <w:noProof/>
            <w:webHidden/>
          </w:rPr>
          <w:fldChar w:fldCharType="separate"/>
        </w:r>
        <w:r w:rsidR="00031686">
          <w:rPr>
            <w:noProof/>
            <w:webHidden/>
          </w:rPr>
          <w:t>30</w:t>
        </w:r>
        <w:r>
          <w:rPr>
            <w:noProof/>
            <w:webHidden/>
          </w:rPr>
          <w:fldChar w:fldCharType="end"/>
        </w:r>
      </w:hyperlink>
    </w:p>
    <w:p w:rsidR="001646BE" w:rsidRDefault="004D5F73">
      <w:pPr>
        <w:pStyle w:val="TOC2"/>
        <w:rPr>
          <w:noProof/>
          <w:lang w:val="hr-HR" w:eastAsia="hr-HR"/>
        </w:rPr>
      </w:pPr>
      <w:hyperlink w:anchor="_Toc296339021" w:history="1">
        <w:r w:rsidR="001646BE" w:rsidRPr="00AD7113">
          <w:rPr>
            <w:rStyle w:val="Hyperlink"/>
            <w:noProof/>
          </w:rPr>
          <w:t>3.3</w:t>
        </w:r>
        <w:r w:rsidR="001646BE">
          <w:rPr>
            <w:noProof/>
            <w:lang w:val="hr-HR" w:eastAsia="hr-HR"/>
          </w:rPr>
          <w:tab/>
        </w:r>
        <w:r w:rsidR="001646BE" w:rsidRPr="00AD7113">
          <w:rPr>
            <w:rStyle w:val="Hyperlink"/>
            <w:noProof/>
          </w:rPr>
          <w:t xml:space="preserve">KOMPARATIVNA ANALIZA FUNKCIONALNIH BLOKOVA ZRAČNOG </w:t>
        </w:r>
        <w:r w:rsidR="001646BE">
          <w:rPr>
            <w:rStyle w:val="Hyperlink"/>
            <w:noProof/>
          </w:rPr>
          <w:t xml:space="preserve">  </w:t>
        </w:r>
        <w:r w:rsidR="001646BE" w:rsidRPr="00AD7113">
          <w:rPr>
            <w:rStyle w:val="Hyperlink"/>
            <w:noProof/>
          </w:rPr>
          <w:t>PROSTORA</w:t>
        </w:r>
        <w:r w:rsidR="001646BE">
          <w:rPr>
            <w:noProof/>
            <w:webHidden/>
          </w:rPr>
          <w:tab/>
        </w:r>
        <w:r>
          <w:rPr>
            <w:noProof/>
            <w:webHidden/>
          </w:rPr>
          <w:fldChar w:fldCharType="begin"/>
        </w:r>
        <w:r w:rsidR="001646BE">
          <w:rPr>
            <w:noProof/>
            <w:webHidden/>
          </w:rPr>
          <w:instrText xml:space="preserve"> PAGEREF _Toc296339021 \h </w:instrText>
        </w:r>
        <w:r>
          <w:rPr>
            <w:noProof/>
            <w:webHidden/>
          </w:rPr>
        </w:r>
        <w:r>
          <w:rPr>
            <w:noProof/>
            <w:webHidden/>
          </w:rPr>
          <w:fldChar w:fldCharType="separate"/>
        </w:r>
        <w:r w:rsidR="00031686">
          <w:rPr>
            <w:noProof/>
            <w:webHidden/>
          </w:rPr>
          <w:t>49</w:t>
        </w:r>
        <w:r>
          <w:rPr>
            <w:noProof/>
            <w:webHidden/>
          </w:rPr>
          <w:fldChar w:fldCharType="end"/>
        </w:r>
      </w:hyperlink>
    </w:p>
    <w:p w:rsidR="001646BE" w:rsidRDefault="004D5F73">
      <w:pPr>
        <w:pStyle w:val="TOC3"/>
        <w:tabs>
          <w:tab w:val="left" w:pos="1320"/>
          <w:tab w:val="right" w:leader="dot" w:pos="9062"/>
        </w:tabs>
        <w:rPr>
          <w:noProof/>
          <w:lang w:val="hr-HR" w:eastAsia="hr-HR"/>
        </w:rPr>
      </w:pPr>
      <w:hyperlink w:anchor="_Toc296339022" w:history="1">
        <w:r w:rsidR="001646BE" w:rsidRPr="00AD7113">
          <w:rPr>
            <w:rStyle w:val="Hyperlink"/>
            <w:noProof/>
          </w:rPr>
          <w:t>3.3.1</w:t>
        </w:r>
        <w:r w:rsidR="001646BE">
          <w:rPr>
            <w:noProof/>
            <w:lang w:val="hr-HR" w:eastAsia="hr-HR"/>
          </w:rPr>
          <w:t xml:space="preserve"> </w:t>
        </w:r>
        <w:r w:rsidR="001646BE">
          <w:rPr>
            <w:noProof/>
            <w:lang w:val="hr-HR" w:eastAsia="hr-HR"/>
          </w:rPr>
          <w:tab/>
        </w:r>
        <w:r w:rsidR="001646BE" w:rsidRPr="00AD7113">
          <w:rPr>
            <w:rStyle w:val="Hyperlink"/>
            <w:noProof/>
          </w:rPr>
          <w:t>EKONOMSKA EFIKASNOST</w:t>
        </w:r>
        <w:r w:rsidR="001646BE">
          <w:rPr>
            <w:noProof/>
            <w:webHidden/>
          </w:rPr>
          <w:tab/>
        </w:r>
        <w:r>
          <w:rPr>
            <w:noProof/>
            <w:webHidden/>
          </w:rPr>
          <w:fldChar w:fldCharType="begin"/>
        </w:r>
        <w:r w:rsidR="001646BE">
          <w:rPr>
            <w:noProof/>
            <w:webHidden/>
          </w:rPr>
          <w:instrText xml:space="preserve"> PAGEREF _Toc296339022 \h </w:instrText>
        </w:r>
        <w:r>
          <w:rPr>
            <w:noProof/>
            <w:webHidden/>
          </w:rPr>
        </w:r>
        <w:r>
          <w:rPr>
            <w:noProof/>
            <w:webHidden/>
          </w:rPr>
          <w:fldChar w:fldCharType="separate"/>
        </w:r>
        <w:r w:rsidR="00031686">
          <w:rPr>
            <w:noProof/>
            <w:webHidden/>
          </w:rPr>
          <w:t>53</w:t>
        </w:r>
        <w:r>
          <w:rPr>
            <w:noProof/>
            <w:webHidden/>
          </w:rPr>
          <w:fldChar w:fldCharType="end"/>
        </w:r>
      </w:hyperlink>
    </w:p>
    <w:p w:rsidR="001646BE" w:rsidRDefault="004D5F73">
      <w:pPr>
        <w:pStyle w:val="TOC3"/>
        <w:tabs>
          <w:tab w:val="left" w:pos="1320"/>
          <w:tab w:val="right" w:leader="dot" w:pos="9062"/>
        </w:tabs>
        <w:rPr>
          <w:noProof/>
          <w:lang w:val="hr-HR" w:eastAsia="hr-HR"/>
        </w:rPr>
      </w:pPr>
      <w:hyperlink w:anchor="_Toc296339023" w:history="1">
        <w:r w:rsidR="001646BE" w:rsidRPr="00AD7113">
          <w:rPr>
            <w:rStyle w:val="Hyperlink"/>
            <w:noProof/>
          </w:rPr>
          <w:t>3.3.2</w:t>
        </w:r>
        <w:r w:rsidR="001646BE">
          <w:rPr>
            <w:noProof/>
            <w:lang w:val="hr-HR" w:eastAsia="hr-HR"/>
          </w:rPr>
          <w:t xml:space="preserve"> </w:t>
        </w:r>
        <w:r w:rsidR="001646BE">
          <w:rPr>
            <w:noProof/>
            <w:lang w:val="hr-HR" w:eastAsia="hr-HR"/>
          </w:rPr>
          <w:tab/>
        </w:r>
        <w:r w:rsidR="001646BE" w:rsidRPr="00AD7113">
          <w:rPr>
            <w:rStyle w:val="Hyperlink"/>
            <w:noProof/>
          </w:rPr>
          <w:t>OPERATIVNA EFIKASNOST</w:t>
        </w:r>
        <w:r w:rsidR="001646BE">
          <w:rPr>
            <w:noProof/>
            <w:webHidden/>
          </w:rPr>
          <w:tab/>
        </w:r>
        <w:r>
          <w:rPr>
            <w:noProof/>
            <w:webHidden/>
          </w:rPr>
          <w:fldChar w:fldCharType="begin"/>
        </w:r>
        <w:r w:rsidR="001646BE">
          <w:rPr>
            <w:noProof/>
            <w:webHidden/>
          </w:rPr>
          <w:instrText xml:space="preserve"> PAGEREF _Toc296339023 \h </w:instrText>
        </w:r>
        <w:r>
          <w:rPr>
            <w:noProof/>
            <w:webHidden/>
          </w:rPr>
        </w:r>
        <w:r>
          <w:rPr>
            <w:noProof/>
            <w:webHidden/>
          </w:rPr>
          <w:fldChar w:fldCharType="separate"/>
        </w:r>
        <w:r w:rsidR="00031686">
          <w:rPr>
            <w:noProof/>
            <w:webHidden/>
          </w:rPr>
          <w:t>56</w:t>
        </w:r>
        <w:r>
          <w:rPr>
            <w:noProof/>
            <w:webHidden/>
          </w:rPr>
          <w:fldChar w:fldCharType="end"/>
        </w:r>
      </w:hyperlink>
    </w:p>
    <w:p w:rsidR="001646BE" w:rsidRDefault="004D5F73">
      <w:pPr>
        <w:pStyle w:val="TOC2"/>
        <w:rPr>
          <w:noProof/>
          <w:lang w:val="hr-HR" w:eastAsia="hr-HR"/>
        </w:rPr>
      </w:pPr>
      <w:hyperlink w:anchor="_Toc296339024" w:history="1">
        <w:r w:rsidR="001646BE" w:rsidRPr="00AD7113">
          <w:rPr>
            <w:rStyle w:val="Hyperlink"/>
            <w:noProof/>
          </w:rPr>
          <w:t>3.4</w:t>
        </w:r>
        <w:r w:rsidR="001646BE">
          <w:rPr>
            <w:noProof/>
            <w:lang w:val="hr-HR" w:eastAsia="hr-HR"/>
          </w:rPr>
          <w:tab/>
        </w:r>
        <w:r w:rsidR="001646BE" w:rsidRPr="00AD7113">
          <w:rPr>
            <w:rStyle w:val="Hyperlink"/>
            <w:noProof/>
          </w:rPr>
          <w:t>ETIOLOGIJA IMPLEMENTACIJE PROGRAMA JEDINSTVENOG EUROPSKOG NEBA U ZEMLJAMA JUGOISTOČNE EUROPE</w:t>
        </w:r>
        <w:r w:rsidR="001646BE">
          <w:rPr>
            <w:noProof/>
            <w:webHidden/>
          </w:rPr>
          <w:tab/>
        </w:r>
        <w:r>
          <w:rPr>
            <w:noProof/>
            <w:webHidden/>
          </w:rPr>
          <w:fldChar w:fldCharType="begin"/>
        </w:r>
        <w:r w:rsidR="001646BE">
          <w:rPr>
            <w:noProof/>
            <w:webHidden/>
          </w:rPr>
          <w:instrText xml:space="preserve"> PAGEREF _Toc296339024 \h </w:instrText>
        </w:r>
        <w:r>
          <w:rPr>
            <w:noProof/>
            <w:webHidden/>
          </w:rPr>
        </w:r>
        <w:r>
          <w:rPr>
            <w:noProof/>
            <w:webHidden/>
          </w:rPr>
          <w:fldChar w:fldCharType="separate"/>
        </w:r>
        <w:r w:rsidR="00031686">
          <w:rPr>
            <w:noProof/>
            <w:webHidden/>
          </w:rPr>
          <w:t>59</w:t>
        </w:r>
        <w:r>
          <w:rPr>
            <w:noProof/>
            <w:webHidden/>
          </w:rPr>
          <w:fldChar w:fldCharType="end"/>
        </w:r>
      </w:hyperlink>
    </w:p>
    <w:p w:rsidR="001646BE" w:rsidRDefault="004D5F73" w:rsidP="000D7BF0">
      <w:pPr>
        <w:pStyle w:val="TOC3"/>
        <w:tabs>
          <w:tab w:val="left" w:pos="1320"/>
          <w:tab w:val="right" w:leader="dot" w:pos="9062"/>
        </w:tabs>
        <w:ind w:left="1320" w:hanging="880"/>
        <w:rPr>
          <w:noProof/>
          <w:lang w:val="hr-HR" w:eastAsia="hr-HR"/>
        </w:rPr>
      </w:pPr>
      <w:hyperlink w:anchor="_Toc296339025" w:history="1">
        <w:r w:rsidR="001646BE" w:rsidRPr="00AD7113">
          <w:rPr>
            <w:rStyle w:val="Hyperlink"/>
            <w:noProof/>
          </w:rPr>
          <w:t>3.4.1</w:t>
        </w:r>
        <w:r w:rsidR="001646BE">
          <w:rPr>
            <w:noProof/>
            <w:lang w:val="hr-HR" w:eastAsia="hr-HR"/>
          </w:rPr>
          <w:tab/>
        </w:r>
        <w:r w:rsidR="001646BE" w:rsidRPr="00AD7113">
          <w:rPr>
            <w:rStyle w:val="Hyperlink"/>
            <w:noProof/>
          </w:rPr>
          <w:t>SREDNJOEUROPSKI CENTAR ZA PRUŽANJE USLUGA U ZRAČNOJ PLOVIDBI (CEATS)</w:t>
        </w:r>
        <w:r w:rsidR="001646BE">
          <w:rPr>
            <w:noProof/>
            <w:webHidden/>
          </w:rPr>
          <w:tab/>
        </w:r>
        <w:r>
          <w:rPr>
            <w:noProof/>
            <w:webHidden/>
          </w:rPr>
          <w:fldChar w:fldCharType="begin"/>
        </w:r>
        <w:r w:rsidR="001646BE">
          <w:rPr>
            <w:noProof/>
            <w:webHidden/>
          </w:rPr>
          <w:instrText xml:space="preserve"> PAGEREF _Toc296339025 \h </w:instrText>
        </w:r>
        <w:r>
          <w:rPr>
            <w:noProof/>
            <w:webHidden/>
          </w:rPr>
        </w:r>
        <w:r>
          <w:rPr>
            <w:noProof/>
            <w:webHidden/>
          </w:rPr>
          <w:fldChar w:fldCharType="separate"/>
        </w:r>
        <w:r w:rsidR="00031686">
          <w:rPr>
            <w:noProof/>
            <w:webHidden/>
          </w:rPr>
          <w:t>60</w:t>
        </w:r>
        <w:r>
          <w:rPr>
            <w:noProof/>
            <w:webHidden/>
          </w:rPr>
          <w:fldChar w:fldCharType="end"/>
        </w:r>
      </w:hyperlink>
    </w:p>
    <w:p w:rsidR="001646BE" w:rsidRDefault="004D5F73" w:rsidP="000D7BF0">
      <w:pPr>
        <w:pStyle w:val="TOC3"/>
        <w:tabs>
          <w:tab w:val="left" w:pos="1320"/>
          <w:tab w:val="right" w:leader="dot" w:pos="9062"/>
        </w:tabs>
        <w:ind w:left="1320" w:hanging="880"/>
        <w:rPr>
          <w:noProof/>
          <w:lang w:val="hr-HR" w:eastAsia="hr-HR"/>
        </w:rPr>
      </w:pPr>
      <w:hyperlink w:anchor="_Toc296339026" w:history="1">
        <w:r w:rsidR="001646BE" w:rsidRPr="00AD7113">
          <w:rPr>
            <w:rStyle w:val="Hyperlink"/>
            <w:noProof/>
          </w:rPr>
          <w:t>3.4.2</w:t>
        </w:r>
        <w:r w:rsidR="001646BE">
          <w:rPr>
            <w:noProof/>
            <w:lang w:val="hr-HR" w:eastAsia="hr-HR"/>
          </w:rPr>
          <w:tab/>
        </w:r>
        <w:r w:rsidR="001646BE" w:rsidRPr="00AD7113">
          <w:rPr>
            <w:rStyle w:val="Hyperlink"/>
            <w:noProof/>
          </w:rPr>
          <w:t xml:space="preserve">FUNKCIONALNI BLOK ZRAČNOG PROSTORA JUGOISTOČNE EUROPE </w:t>
        </w:r>
        <w:r w:rsidR="001646BE">
          <w:rPr>
            <w:rStyle w:val="Hyperlink"/>
            <w:noProof/>
          </w:rPr>
          <w:t xml:space="preserve">    </w:t>
        </w:r>
        <w:r w:rsidR="001646BE" w:rsidRPr="00AD7113">
          <w:rPr>
            <w:rStyle w:val="Hyperlink"/>
            <w:noProof/>
          </w:rPr>
          <w:t>(SEE FABA)</w:t>
        </w:r>
        <w:r w:rsidR="001646BE">
          <w:rPr>
            <w:noProof/>
            <w:webHidden/>
          </w:rPr>
          <w:tab/>
        </w:r>
        <w:r>
          <w:rPr>
            <w:noProof/>
            <w:webHidden/>
          </w:rPr>
          <w:fldChar w:fldCharType="begin"/>
        </w:r>
        <w:r w:rsidR="001646BE">
          <w:rPr>
            <w:noProof/>
            <w:webHidden/>
          </w:rPr>
          <w:instrText xml:space="preserve"> PAGEREF _Toc296339026 \h </w:instrText>
        </w:r>
        <w:r>
          <w:rPr>
            <w:noProof/>
            <w:webHidden/>
          </w:rPr>
        </w:r>
        <w:r>
          <w:rPr>
            <w:noProof/>
            <w:webHidden/>
          </w:rPr>
          <w:fldChar w:fldCharType="separate"/>
        </w:r>
        <w:r w:rsidR="00031686">
          <w:rPr>
            <w:noProof/>
            <w:webHidden/>
          </w:rPr>
          <w:t>61</w:t>
        </w:r>
        <w:r>
          <w:rPr>
            <w:noProof/>
            <w:webHidden/>
          </w:rPr>
          <w:fldChar w:fldCharType="end"/>
        </w:r>
      </w:hyperlink>
    </w:p>
    <w:p w:rsidR="001646BE" w:rsidRDefault="004D5F73" w:rsidP="008044AE">
      <w:pPr>
        <w:pStyle w:val="TOC3"/>
        <w:tabs>
          <w:tab w:val="left" w:pos="1320"/>
          <w:tab w:val="right" w:leader="dot" w:pos="9062"/>
        </w:tabs>
        <w:ind w:left="1320" w:hanging="880"/>
        <w:rPr>
          <w:noProof/>
          <w:lang w:val="hr-HR" w:eastAsia="hr-HR"/>
        </w:rPr>
      </w:pPr>
      <w:hyperlink w:anchor="_Toc296339027" w:history="1">
        <w:r w:rsidR="001646BE" w:rsidRPr="00AD7113">
          <w:rPr>
            <w:rStyle w:val="Hyperlink"/>
            <w:noProof/>
          </w:rPr>
          <w:t>3.4.3</w:t>
        </w:r>
        <w:r w:rsidR="001646BE">
          <w:rPr>
            <w:noProof/>
            <w:lang w:val="hr-HR" w:eastAsia="hr-HR"/>
          </w:rPr>
          <w:tab/>
        </w:r>
        <w:r w:rsidR="001646BE" w:rsidRPr="00AD7113">
          <w:rPr>
            <w:rStyle w:val="Hyperlink"/>
            <w:noProof/>
          </w:rPr>
          <w:t>IMPLEMENTACIJA PROGRAMA „JEDINSTVENO EUROPSKO NEBO“ U JUGOISTOČNOJ EUROPI (ISIS)</w:t>
        </w:r>
        <w:r w:rsidR="001646BE">
          <w:rPr>
            <w:noProof/>
            <w:webHidden/>
          </w:rPr>
          <w:tab/>
        </w:r>
        <w:r>
          <w:rPr>
            <w:noProof/>
            <w:webHidden/>
          </w:rPr>
          <w:fldChar w:fldCharType="begin"/>
        </w:r>
        <w:r w:rsidR="001646BE">
          <w:rPr>
            <w:noProof/>
            <w:webHidden/>
          </w:rPr>
          <w:instrText xml:space="preserve"> PAGEREF _Toc296339027 \h </w:instrText>
        </w:r>
        <w:r>
          <w:rPr>
            <w:noProof/>
            <w:webHidden/>
          </w:rPr>
        </w:r>
        <w:r>
          <w:rPr>
            <w:noProof/>
            <w:webHidden/>
          </w:rPr>
          <w:fldChar w:fldCharType="separate"/>
        </w:r>
        <w:r w:rsidR="00031686">
          <w:rPr>
            <w:noProof/>
            <w:webHidden/>
          </w:rPr>
          <w:t>62</w:t>
        </w:r>
        <w:r>
          <w:rPr>
            <w:noProof/>
            <w:webHidden/>
          </w:rPr>
          <w:fldChar w:fldCharType="end"/>
        </w:r>
      </w:hyperlink>
    </w:p>
    <w:p w:rsidR="001646BE" w:rsidRDefault="004D5F73" w:rsidP="000D7BF0">
      <w:pPr>
        <w:pStyle w:val="TOC1"/>
        <w:rPr>
          <w:noProof/>
          <w:lang w:val="hr-HR" w:eastAsia="hr-HR"/>
        </w:rPr>
      </w:pPr>
      <w:hyperlink w:anchor="_Toc296339028" w:history="1">
        <w:r w:rsidR="001646BE" w:rsidRPr="00AD7113">
          <w:rPr>
            <w:rStyle w:val="Hyperlink"/>
            <w:noProof/>
          </w:rPr>
          <w:t>4</w:t>
        </w:r>
        <w:r w:rsidR="001646BE">
          <w:rPr>
            <w:noProof/>
            <w:lang w:val="hr-HR" w:eastAsia="hr-HR"/>
          </w:rPr>
          <w:tab/>
        </w:r>
        <w:r w:rsidR="001646BE" w:rsidRPr="00AD7113">
          <w:rPr>
            <w:rStyle w:val="Hyperlink"/>
            <w:noProof/>
          </w:rPr>
          <w:t xml:space="preserve">STRATEŠKO POZICIONIRANJE HRVATSKE U REGIJI </w:t>
        </w:r>
        <w:r w:rsidR="001646BE">
          <w:rPr>
            <w:rStyle w:val="Hyperlink"/>
            <w:noProof/>
          </w:rPr>
          <w:t>SREDNJE</w:t>
        </w:r>
        <w:r w:rsidR="001646BE" w:rsidRPr="00AD7113">
          <w:rPr>
            <w:rStyle w:val="Hyperlink"/>
            <w:noProof/>
          </w:rPr>
          <w:t xml:space="preserve"> EUROPE</w:t>
        </w:r>
        <w:r w:rsidR="001646BE">
          <w:rPr>
            <w:noProof/>
            <w:webHidden/>
          </w:rPr>
          <w:tab/>
        </w:r>
        <w:r>
          <w:rPr>
            <w:noProof/>
            <w:webHidden/>
          </w:rPr>
          <w:fldChar w:fldCharType="begin"/>
        </w:r>
        <w:r w:rsidR="001646BE">
          <w:rPr>
            <w:noProof/>
            <w:webHidden/>
          </w:rPr>
          <w:instrText xml:space="preserve"> PAGEREF _Toc296339028 \h </w:instrText>
        </w:r>
        <w:r>
          <w:rPr>
            <w:noProof/>
            <w:webHidden/>
          </w:rPr>
        </w:r>
        <w:r>
          <w:rPr>
            <w:noProof/>
            <w:webHidden/>
          </w:rPr>
          <w:fldChar w:fldCharType="separate"/>
        </w:r>
        <w:r w:rsidR="00031686">
          <w:rPr>
            <w:noProof/>
            <w:webHidden/>
          </w:rPr>
          <w:t>63</w:t>
        </w:r>
        <w:r>
          <w:rPr>
            <w:noProof/>
            <w:webHidden/>
          </w:rPr>
          <w:fldChar w:fldCharType="end"/>
        </w:r>
      </w:hyperlink>
    </w:p>
    <w:p w:rsidR="001646BE" w:rsidRDefault="004D5F73">
      <w:pPr>
        <w:pStyle w:val="TOC2"/>
        <w:rPr>
          <w:noProof/>
          <w:lang w:val="hr-HR" w:eastAsia="hr-HR"/>
        </w:rPr>
      </w:pPr>
      <w:hyperlink w:anchor="_Toc296339029" w:history="1">
        <w:r w:rsidR="001646BE" w:rsidRPr="00AD7113">
          <w:rPr>
            <w:rStyle w:val="Hyperlink"/>
            <w:noProof/>
          </w:rPr>
          <w:t>4.1</w:t>
        </w:r>
        <w:r w:rsidR="001646BE">
          <w:rPr>
            <w:noProof/>
            <w:lang w:val="hr-HR" w:eastAsia="hr-HR"/>
          </w:rPr>
          <w:tab/>
        </w:r>
        <w:r w:rsidR="001646BE" w:rsidRPr="00AD7113">
          <w:rPr>
            <w:rStyle w:val="Hyperlink"/>
            <w:noProof/>
          </w:rPr>
          <w:t xml:space="preserve">SVRHA FUNKCIONALNOG BLOKA ZRAČNOG PROSTORA </w:t>
        </w:r>
        <w:r w:rsidR="001646BE">
          <w:rPr>
            <w:rStyle w:val="Hyperlink"/>
            <w:noProof/>
          </w:rPr>
          <w:t xml:space="preserve">SREDNJE </w:t>
        </w:r>
        <w:r w:rsidR="001646BE" w:rsidRPr="00AD7113">
          <w:rPr>
            <w:rStyle w:val="Hyperlink"/>
            <w:noProof/>
          </w:rPr>
          <w:t>EUROPE</w:t>
        </w:r>
        <w:r w:rsidR="001646BE">
          <w:rPr>
            <w:noProof/>
            <w:webHidden/>
          </w:rPr>
          <w:tab/>
        </w:r>
        <w:r>
          <w:rPr>
            <w:noProof/>
            <w:webHidden/>
          </w:rPr>
          <w:fldChar w:fldCharType="begin"/>
        </w:r>
        <w:r w:rsidR="001646BE">
          <w:rPr>
            <w:noProof/>
            <w:webHidden/>
          </w:rPr>
          <w:instrText xml:space="preserve"> PAGEREF _Toc296339029 \h </w:instrText>
        </w:r>
        <w:r>
          <w:rPr>
            <w:noProof/>
            <w:webHidden/>
          </w:rPr>
        </w:r>
        <w:r>
          <w:rPr>
            <w:noProof/>
            <w:webHidden/>
          </w:rPr>
          <w:fldChar w:fldCharType="separate"/>
        </w:r>
        <w:r w:rsidR="00031686">
          <w:rPr>
            <w:noProof/>
            <w:webHidden/>
          </w:rPr>
          <w:t>64</w:t>
        </w:r>
        <w:r>
          <w:rPr>
            <w:noProof/>
            <w:webHidden/>
          </w:rPr>
          <w:fldChar w:fldCharType="end"/>
        </w:r>
      </w:hyperlink>
    </w:p>
    <w:p w:rsidR="001646BE" w:rsidRDefault="004D5F73">
      <w:pPr>
        <w:pStyle w:val="TOC2"/>
        <w:rPr>
          <w:noProof/>
          <w:lang w:val="hr-HR" w:eastAsia="hr-HR"/>
        </w:rPr>
      </w:pPr>
      <w:hyperlink w:anchor="_Toc296339030" w:history="1">
        <w:r w:rsidR="001646BE" w:rsidRPr="00AD7113">
          <w:rPr>
            <w:rStyle w:val="Hyperlink"/>
            <w:noProof/>
          </w:rPr>
          <w:t xml:space="preserve">4.2 </w:t>
        </w:r>
        <w:r w:rsidR="001646BE">
          <w:rPr>
            <w:rStyle w:val="Hyperlink"/>
            <w:noProof/>
          </w:rPr>
          <w:tab/>
        </w:r>
        <w:r w:rsidR="001646BE" w:rsidRPr="00AD7113">
          <w:rPr>
            <w:rStyle w:val="Hyperlink"/>
            <w:noProof/>
          </w:rPr>
          <w:t xml:space="preserve">PERFORMANSE FUNKCIONALNOG BLOKA ZRAČNOG  PROSTORA </w:t>
        </w:r>
        <w:r w:rsidR="001646BE">
          <w:rPr>
            <w:rStyle w:val="Hyperlink"/>
            <w:noProof/>
          </w:rPr>
          <w:t xml:space="preserve">         </w:t>
        </w:r>
        <w:r w:rsidR="001646BE" w:rsidRPr="00AD7113">
          <w:rPr>
            <w:rStyle w:val="Hyperlink"/>
            <w:noProof/>
          </w:rPr>
          <w:t>CENTRAL EUROPE</w:t>
        </w:r>
        <w:r w:rsidR="001646BE">
          <w:rPr>
            <w:noProof/>
            <w:webHidden/>
          </w:rPr>
          <w:tab/>
        </w:r>
        <w:r>
          <w:rPr>
            <w:noProof/>
            <w:webHidden/>
          </w:rPr>
          <w:fldChar w:fldCharType="begin"/>
        </w:r>
        <w:r w:rsidR="001646BE">
          <w:rPr>
            <w:noProof/>
            <w:webHidden/>
          </w:rPr>
          <w:instrText xml:space="preserve"> PAGEREF _Toc296339030 \h </w:instrText>
        </w:r>
        <w:r>
          <w:rPr>
            <w:noProof/>
            <w:webHidden/>
          </w:rPr>
        </w:r>
        <w:r>
          <w:rPr>
            <w:noProof/>
            <w:webHidden/>
          </w:rPr>
          <w:fldChar w:fldCharType="separate"/>
        </w:r>
        <w:r w:rsidR="00031686">
          <w:rPr>
            <w:noProof/>
            <w:webHidden/>
          </w:rPr>
          <w:t>65</w:t>
        </w:r>
        <w:r>
          <w:rPr>
            <w:noProof/>
            <w:webHidden/>
          </w:rPr>
          <w:fldChar w:fldCharType="end"/>
        </w:r>
      </w:hyperlink>
    </w:p>
    <w:p w:rsidR="001646BE" w:rsidRDefault="004D5F73">
      <w:pPr>
        <w:pStyle w:val="TOC3"/>
        <w:tabs>
          <w:tab w:val="right" w:leader="dot" w:pos="9062"/>
        </w:tabs>
        <w:rPr>
          <w:noProof/>
          <w:lang w:val="hr-HR" w:eastAsia="hr-HR"/>
        </w:rPr>
      </w:pPr>
      <w:hyperlink w:anchor="_Toc296339031" w:history="1">
        <w:r w:rsidR="001646BE" w:rsidRPr="00AD7113">
          <w:rPr>
            <w:rStyle w:val="Hyperlink"/>
            <w:noProof/>
          </w:rPr>
          <w:t>4.2.1</w:t>
        </w:r>
        <w:r w:rsidR="001646BE">
          <w:rPr>
            <w:rStyle w:val="Hyperlink"/>
            <w:noProof/>
          </w:rPr>
          <w:t xml:space="preserve">       </w:t>
        </w:r>
        <w:r w:rsidR="001646BE" w:rsidRPr="00AD7113">
          <w:rPr>
            <w:rStyle w:val="Hyperlink"/>
            <w:noProof/>
          </w:rPr>
          <w:t xml:space="preserve"> KAPACITET</w:t>
        </w:r>
        <w:r w:rsidR="001646BE">
          <w:rPr>
            <w:noProof/>
            <w:webHidden/>
          </w:rPr>
          <w:tab/>
        </w:r>
        <w:r>
          <w:rPr>
            <w:noProof/>
            <w:webHidden/>
          </w:rPr>
          <w:fldChar w:fldCharType="begin"/>
        </w:r>
        <w:r w:rsidR="001646BE">
          <w:rPr>
            <w:noProof/>
            <w:webHidden/>
          </w:rPr>
          <w:instrText xml:space="preserve"> PAGEREF _Toc296339031 \h </w:instrText>
        </w:r>
        <w:r>
          <w:rPr>
            <w:noProof/>
            <w:webHidden/>
          </w:rPr>
        </w:r>
        <w:r>
          <w:rPr>
            <w:noProof/>
            <w:webHidden/>
          </w:rPr>
          <w:fldChar w:fldCharType="separate"/>
        </w:r>
        <w:r w:rsidR="00031686">
          <w:rPr>
            <w:noProof/>
            <w:webHidden/>
          </w:rPr>
          <w:t>65</w:t>
        </w:r>
        <w:r>
          <w:rPr>
            <w:noProof/>
            <w:webHidden/>
          </w:rPr>
          <w:fldChar w:fldCharType="end"/>
        </w:r>
      </w:hyperlink>
    </w:p>
    <w:p w:rsidR="001646BE" w:rsidRDefault="004D5F73">
      <w:pPr>
        <w:pStyle w:val="TOC3"/>
        <w:tabs>
          <w:tab w:val="right" w:leader="dot" w:pos="9062"/>
        </w:tabs>
        <w:rPr>
          <w:noProof/>
          <w:lang w:val="hr-HR" w:eastAsia="hr-HR"/>
        </w:rPr>
      </w:pPr>
      <w:hyperlink w:anchor="_Toc296339032" w:history="1">
        <w:r w:rsidR="001646BE" w:rsidRPr="00AD7113">
          <w:rPr>
            <w:rStyle w:val="Hyperlink"/>
            <w:noProof/>
          </w:rPr>
          <w:t xml:space="preserve">4.2.2 </w:t>
        </w:r>
        <w:r w:rsidR="001646BE">
          <w:rPr>
            <w:rStyle w:val="Hyperlink"/>
            <w:noProof/>
          </w:rPr>
          <w:t xml:space="preserve">        </w:t>
        </w:r>
        <w:r w:rsidR="001646BE" w:rsidRPr="00AD7113">
          <w:rPr>
            <w:rStyle w:val="Hyperlink"/>
            <w:noProof/>
          </w:rPr>
          <w:t>SIGURNOST</w:t>
        </w:r>
        <w:r w:rsidR="001646BE">
          <w:rPr>
            <w:noProof/>
            <w:webHidden/>
          </w:rPr>
          <w:tab/>
        </w:r>
        <w:r>
          <w:rPr>
            <w:noProof/>
            <w:webHidden/>
          </w:rPr>
          <w:fldChar w:fldCharType="begin"/>
        </w:r>
        <w:r w:rsidR="001646BE">
          <w:rPr>
            <w:noProof/>
            <w:webHidden/>
          </w:rPr>
          <w:instrText xml:space="preserve"> PAGEREF _Toc296339032 \h </w:instrText>
        </w:r>
        <w:r>
          <w:rPr>
            <w:noProof/>
            <w:webHidden/>
          </w:rPr>
        </w:r>
        <w:r>
          <w:rPr>
            <w:noProof/>
            <w:webHidden/>
          </w:rPr>
          <w:fldChar w:fldCharType="separate"/>
        </w:r>
        <w:r w:rsidR="00031686">
          <w:rPr>
            <w:noProof/>
            <w:webHidden/>
          </w:rPr>
          <w:t>66</w:t>
        </w:r>
        <w:r>
          <w:rPr>
            <w:noProof/>
            <w:webHidden/>
          </w:rPr>
          <w:fldChar w:fldCharType="end"/>
        </w:r>
      </w:hyperlink>
    </w:p>
    <w:p w:rsidR="001646BE" w:rsidRDefault="004D5F73">
      <w:pPr>
        <w:pStyle w:val="TOC3"/>
        <w:tabs>
          <w:tab w:val="right" w:leader="dot" w:pos="9062"/>
        </w:tabs>
        <w:rPr>
          <w:noProof/>
          <w:lang w:val="hr-HR" w:eastAsia="hr-HR"/>
        </w:rPr>
      </w:pPr>
      <w:hyperlink w:anchor="_Toc296339033" w:history="1">
        <w:r w:rsidR="001646BE" w:rsidRPr="00AD7113">
          <w:rPr>
            <w:rStyle w:val="Hyperlink"/>
            <w:noProof/>
          </w:rPr>
          <w:t xml:space="preserve">4.2.3 </w:t>
        </w:r>
        <w:r w:rsidR="001646BE">
          <w:rPr>
            <w:rStyle w:val="Hyperlink"/>
            <w:noProof/>
          </w:rPr>
          <w:t xml:space="preserve">        </w:t>
        </w:r>
        <w:r w:rsidR="001646BE" w:rsidRPr="00AD7113">
          <w:rPr>
            <w:rStyle w:val="Hyperlink"/>
            <w:noProof/>
          </w:rPr>
          <w:t>EKONOMSKA ISPLATIVOST</w:t>
        </w:r>
        <w:r w:rsidR="001646BE">
          <w:rPr>
            <w:noProof/>
            <w:webHidden/>
          </w:rPr>
          <w:tab/>
        </w:r>
        <w:r>
          <w:rPr>
            <w:noProof/>
            <w:webHidden/>
          </w:rPr>
          <w:fldChar w:fldCharType="begin"/>
        </w:r>
        <w:r w:rsidR="001646BE">
          <w:rPr>
            <w:noProof/>
            <w:webHidden/>
          </w:rPr>
          <w:instrText xml:space="preserve"> PAGEREF _Toc296339033 \h </w:instrText>
        </w:r>
        <w:r>
          <w:rPr>
            <w:noProof/>
            <w:webHidden/>
          </w:rPr>
        </w:r>
        <w:r>
          <w:rPr>
            <w:noProof/>
            <w:webHidden/>
          </w:rPr>
          <w:fldChar w:fldCharType="separate"/>
        </w:r>
        <w:r w:rsidR="00031686">
          <w:rPr>
            <w:noProof/>
            <w:webHidden/>
          </w:rPr>
          <w:t>67</w:t>
        </w:r>
        <w:r>
          <w:rPr>
            <w:noProof/>
            <w:webHidden/>
          </w:rPr>
          <w:fldChar w:fldCharType="end"/>
        </w:r>
      </w:hyperlink>
    </w:p>
    <w:p w:rsidR="001646BE" w:rsidRDefault="004D5F73">
      <w:pPr>
        <w:pStyle w:val="TOC3"/>
        <w:tabs>
          <w:tab w:val="right" w:leader="dot" w:pos="9062"/>
        </w:tabs>
        <w:rPr>
          <w:noProof/>
          <w:lang w:val="hr-HR" w:eastAsia="hr-HR"/>
        </w:rPr>
      </w:pPr>
      <w:hyperlink w:anchor="_Toc296339034" w:history="1">
        <w:r w:rsidR="001646BE" w:rsidRPr="00AD7113">
          <w:rPr>
            <w:rStyle w:val="Hyperlink"/>
            <w:noProof/>
          </w:rPr>
          <w:t xml:space="preserve">4.2.4 </w:t>
        </w:r>
        <w:r w:rsidR="001646BE">
          <w:rPr>
            <w:rStyle w:val="Hyperlink"/>
            <w:noProof/>
          </w:rPr>
          <w:t xml:space="preserve">        </w:t>
        </w:r>
        <w:r w:rsidR="001646BE" w:rsidRPr="00AD7113">
          <w:rPr>
            <w:rStyle w:val="Hyperlink"/>
            <w:noProof/>
          </w:rPr>
          <w:t>UČINKOVITOST LETA</w:t>
        </w:r>
        <w:r w:rsidR="001646BE">
          <w:rPr>
            <w:noProof/>
            <w:webHidden/>
          </w:rPr>
          <w:tab/>
        </w:r>
        <w:r>
          <w:rPr>
            <w:noProof/>
            <w:webHidden/>
          </w:rPr>
          <w:fldChar w:fldCharType="begin"/>
        </w:r>
        <w:r w:rsidR="001646BE">
          <w:rPr>
            <w:noProof/>
            <w:webHidden/>
          </w:rPr>
          <w:instrText xml:space="preserve"> PAGEREF _Toc296339034 \h </w:instrText>
        </w:r>
        <w:r>
          <w:rPr>
            <w:noProof/>
            <w:webHidden/>
          </w:rPr>
        </w:r>
        <w:r>
          <w:rPr>
            <w:noProof/>
            <w:webHidden/>
          </w:rPr>
          <w:fldChar w:fldCharType="separate"/>
        </w:r>
        <w:r w:rsidR="00031686">
          <w:rPr>
            <w:noProof/>
            <w:webHidden/>
          </w:rPr>
          <w:t>68</w:t>
        </w:r>
        <w:r>
          <w:rPr>
            <w:noProof/>
            <w:webHidden/>
          </w:rPr>
          <w:fldChar w:fldCharType="end"/>
        </w:r>
      </w:hyperlink>
    </w:p>
    <w:p w:rsidR="001646BE" w:rsidRDefault="004D5F73">
      <w:pPr>
        <w:pStyle w:val="TOC3"/>
        <w:tabs>
          <w:tab w:val="right" w:leader="dot" w:pos="9062"/>
        </w:tabs>
        <w:rPr>
          <w:noProof/>
          <w:lang w:val="hr-HR" w:eastAsia="hr-HR"/>
        </w:rPr>
      </w:pPr>
      <w:hyperlink w:anchor="_Toc296339035" w:history="1">
        <w:r w:rsidR="001646BE" w:rsidRPr="00AD7113">
          <w:rPr>
            <w:rStyle w:val="Hyperlink"/>
            <w:noProof/>
          </w:rPr>
          <w:t xml:space="preserve">4.2.5 </w:t>
        </w:r>
        <w:r w:rsidR="001646BE">
          <w:rPr>
            <w:rStyle w:val="Hyperlink"/>
            <w:noProof/>
          </w:rPr>
          <w:t xml:space="preserve">        </w:t>
        </w:r>
        <w:r w:rsidR="001646BE" w:rsidRPr="00AD7113">
          <w:rPr>
            <w:rStyle w:val="Hyperlink"/>
            <w:noProof/>
          </w:rPr>
          <w:t>OKOLIŠ</w:t>
        </w:r>
        <w:r w:rsidR="001646BE">
          <w:rPr>
            <w:noProof/>
            <w:webHidden/>
          </w:rPr>
          <w:tab/>
        </w:r>
        <w:r>
          <w:rPr>
            <w:noProof/>
            <w:webHidden/>
          </w:rPr>
          <w:fldChar w:fldCharType="begin"/>
        </w:r>
        <w:r w:rsidR="001646BE">
          <w:rPr>
            <w:noProof/>
            <w:webHidden/>
          </w:rPr>
          <w:instrText xml:space="preserve"> PAGEREF _Toc296339035 \h </w:instrText>
        </w:r>
        <w:r>
          <w:rPr>
            <w:noProof/>
            <w:webHidden/>
          </w:rPr>
        </w:r>
        <w:r>
          <w:rPr>
            <w:noProof/>
            <w:webHidden/>
          </w:rPr>
          <w:fldChar w:fldCharType="separate"/>
        </w:r>
        <w:r w:rsidR="00031686">
          <w:rPr>
            <w:noProof/>
            <w:webHidden/>
          </w:rPr>
          <w:t>68</w:t>
        </w:r>
        <w:r>
          <w:rPr>
            <w:noProof/>
            <w:webHidden/>
          </w:rPr>
          <w:fldChar w:fldCharType="end"/>
        </w:r>
      </w:hyperlink>
    </w:p>
    <w:p w:rsidR="001646BE" w:rsidRDefault="004D5F73">
      <w:pPr>
        <w:pStyle w:val="TOC2"/>
        <w:rPr>
          <w:noProof/>
          <w:lang w:val="hr-HR" w:eastAsia="hr-HR"/>
        </w:rPr>
      </w:pPr>
      <w:hyperlink w:anchor="_Toc296339036" w:history="1">
        <w:r w:rsidR="001646BE" w:rsidRPr="00AD7113">
          <w:rPr>
            <w:rStyle w:val="Hyperlink"/>
            <w:noProof/>
          </w:rPr>
          <w:t>4.2</w:t>
        </w:r>
        <w:r w:rsidR="001646BE">
          <w:rPr>
            <w:noProof/>
            <w:lang w:val="hr-HR" w:eastAsia="hr-HR"/>
          </w:rPr>
          <w:tab/>
        </w:r>
        <w:r w:rsidR="001646BE" w:rsidRPr="00AD7113">
          <w:rPr>
            <w:rStyle w:val="Hyperlink"/>
            <w:noProof/>
          </w:rPr>
          <w:t xml:space="preserve">USPOSTAVA FUNKCIONALNOG BLOKA ZRAČNOG PROSTORA </w:t>
        </w:r>
        <w:r w:rsidR="001646BE">
          <w:rPr>
            <w:rStyle w:val="Hyperlink"/>
            <w:noProof/>
          </w:rPr>
          <w:t>SREDNJE</w:t>
        </w:r>
        <w:r w:rsidR="001646BE" w:rsidRPr="00AD7113">
          <w:rPr>
            <w:rStyle w:val="Hyperlink"/>
            <w:noProof/>
          </w:rPr>
          <w:t xml:space="preserve"> EUROPE</w:t>
        </w:r>
        <w:r w:rsidR="001646BE">
          <w:rPr>
            <w:noProof/>
            <w:webHidden/>
          </w:rPr>
          <w:tab/>
        </w:r>
        <w:r>
          <w:rPr>
            <w:noProof/>
            <w:webHidden/>
          </w:rPr>
          <w:fldChar w:fldCharType="begin"/>
        </w:r>
        <w:r w:rsidR="001646BE">
          <w:rPr>
            <w:noProof/>
            <w:webHidden/>
          </w:rPr>
          <w:instrText xml:space="preserve"> PAGEREF _Toc296339036 \h </w:instrText>
        </w:r>
        <w:r>
          <w:rPr>
            <w:noProof/>
            <w:webHidden/>
          </w:rPr>
        </w:r>
        <w:r>
          <w:rPr>
            <w:noProof/>
            <w:webHidden/>
          </w:rPr>
          <w:fldChar w:fldCharType="separate"/>
        </w:r>
        <w:r w:rsidR="00031686">
          <w:rPr>
            <w:noProof/>
            <w:webHidden/>
          </w:rPr>
          <w:t>69</w:t>
        </w:r>
        <w:r>
          <w:rPr>
            <w:noProof/>
            <w:webHidden/>
          </w:rPr>
          <w:fldChar w:fldCharType="end"/>
        </w:r>
      </w:hyperlink>
    </w:p>
    <w:p w:rsidR="001646BE" w:rsidRDefault="004D5F73">
      <w:pPr>
        <w:pStyle w:val="TOC2"/>
        <w:rPr>
          <w:noProof/>
          <w:lang w:val="hr-HR" w:eastAsia="hr-HR"/>
        </w:rPr>
      </w:pPr>
      <w:hyperlink w:anchor="_Toc296339037" w:history="1">
        <w:r w:rsidR="001646BE" w:rsidRPr="00AD7113">
          <w:rPr>
            <w:rStyle w:val="Hyperlink"/>
            <w:noProof/>
          </w:rPr>
          <w:t>4.3</w:t>
        </w:r>
        <w:r w:rsidR="001646BE">
          <w:rPr>
            <w:noProof/>
            <w:lang w:val="hr-HR" w:eastAsia="hr-HR"/>
          </w:rPr>
          <w:tab/>
        </w:r>
        <w:r w:rsidR="001646BE" w:rsidRPr="00AD7113">
          <w:rPr>
            <w:rStyle w:val="Hyperlink"/>
            <w:noProof/>
          </w:rPr>
          <w:t>SCENARIJI UPRAVLJANJA ZRAČNIM PROMETOM I PROJEKCIJA RAZVOJA FUNKCIONALNOG BLOKA ZRAČNOG PROSTORA CENTRAL EUROPE</w:t>
        </w:r>
        <w:r w:rsidR="001646BE">
          <w:rPr>
            <w:noProof/>
            <w:webHidden/>
          </w:rPr>
          <w:tab/>
        </w:r>
        <w:r>
          <w:rPr>
            <w:noProof/>
            <w:webHidden/>
          </w:rPr>
          <w:fldChar w:fldCharType="begin"/>
        </w:r>
        <w:r w:rsidR="001646BE">
          <w:rPr>
            <w:noProof/>
            <w:webHidden/>
          </w:rPr>
          <w:instrText xml:space="preserve"> PAGEREF _Toc296339037 \h </w:instrText>
        </w:r>
        <w:r>
          <w:rPr>
            <w:noProof/>
            <w:webHidden/>
          </w:rPr>
        </w:r>
        <w:r>
          <w:rPr>
            <w:noProof/>
            <w:webHidden/>
          </w:rPr>
          <w:fldChar w:fldCharType="separate"/>
        </w:r>
        <w:r w:rsidR="00031686">
          <w:rPr>
            <w:noProof/>
            <w:webHidden/>
          </w:rPr>
          <w:t>71</w:t>
        </w:r>
        <w:r>
          <w:rPr>
            <w:noProof/>
            <w:webHidden/>
          </w:rPr>
          <w:fldChar w:fldCharType="end"/>
        </w:r>
      </w:hyperlink>
    </w:p>
    <w:p w:rsidR="001646BE" w:rsidRDefault="004D5F73">
      <w:pPr>
        <w:pStyle w:val="TOC3"/>
        <w:tabs>
          <w:tab w:val="left" w:pos="1320"/>
          <w:tab w:val="right" w:leader="dot" w:pos="9062"/>
        </w:tabs>
        <w:rPr>
          <w:noProof/>
          <w:lang w:val="hr-HR" w:eastAsia="hr-HR"/>
        </w:rPr>
      </w:pPr>
      <w:hyperlink w:anchor="_Toc296339038" w:history="1">
        <w:r w:rsidR="001646BE" w:rsidRPr="00AD7113">
          <w:rPr>
            <w:rStyle w:val="Hyperlink"/>
            <w:noProof/>
          </w:rPr>
          <w:t>4.3.1</w:t>
        </w:r>
        <w:r w:rsidR="001646BE">
          <w:rPr>
            <w:rStyle w:val="Hyperlink"/>
            <w:noProof/>
          </w:rPr>
          <w:t xml:space="preserve">         </w:t>
        </w:r>
        <w:r w:rsidR="001646BE" w:rsidRPr="00AD7113">
          <w:rPr>
            <w:rStyle w:val="Hyperlink"/>
            <w:noProof/>
          </w:rPr>
          <w:t>INICIJALNI SCENARIJ</w:t>
        </w:r>
        <w:r w:rsidR="001646BE">
          <w:rPr>
            <w:noProof/>
            <w:webHidden/>
          </w:rPr>
          <w:tab/>
        </w:r>
        <w:r>
          <w:rPr>
            <w:noProof/>
            <w:webHidden/>
          </w:rPr>
          <w:fldChar w:fldCharType="begin"/>
        </w:r>
        <w:r w:rsidR="001646BE">
          <w:rPr>
            <w:noProof/>
            <w:webHidden/>
          </w:rPr>
          <w:instrText xml:space="preserve"> PAGEREF _Toc296339038 \h </w:instrText>
        </w:r>
        <w:r>
          <w:rPr>
            <w:noProof/>
            <w:webHidden/>
          </w:rPr>
        </w:r>
        <w:r>
          <w:rPr>
            <w:noProof/>
            <w:webHidden/>
          </w:rPr>
          <w:fldChar w:fldCharType="separate"/>
        </w:r>
        <w:r w:rsidR="00031686">
          <w:rPr>
            <w:noProof/>
            <w:webHidden/>
          </w:rPr>
          <w:t>72</w:t>
        </w:r>
        <w:r>
          <w:rPr>
            <w:noProof/>
            <w:webHidden/>
          </w:rPr>
          <w:fldChar w:fldCharType="end"/>
        </w:r>
      </w:hyperlink>
    </w:p>
    <w:p w:rsidR="001646BE" w:rsidRDefault="004D5F73">
      <w:pPr>
        <w:pStyle w:val="TOC3"/>
        <w:tabs>
          <w:tab w:val="left" w:pos="1320"/>
          <w:tab w:val="right" w:leader="dot" w:pos="9062"/>
        </w:tabs>
        <w:rPr>
          <w:noProof/>
          <w:lang w:val="hr-HR" w:eastAsia="hr-HR"/>
        </w:rPr>
      </w:pPr>
      <w:hyperlink w:anchor="_Toc296339039" w:history="1">
        <w:r w:rsidR="001646BE" w:rsidRPr="00AD7113">
          <w:rPr>
            <w:rStyle w:val="Hyperlink"/>
            <w:noProof/>
          </w:rPr>
          <w:t>4.3.2</w:t>
        </w:r>
        <w:r w:rsidR="001646BE">
          <w:rPr>
            <w:rStyle w:val="Hyperlink"/>
            <w:noProof/>
          </w:rPr>
          <w:t xml:space="preserve">         </w:t>
        </w:r>
        <w:r w:rsidR="001646BE" w:rsidRPr="00AD7113">
          <w:rPr>
            <w:rStyle w:val="Hyperlink"/>
            <w:noProof/>
          </w:rPr>
          <w:t>SCENARIJ STATIČKOG PODRUČJA ODGOVORNOSTI</w:t>
        </w:r>
        <w:r w:rsidR="001646BE">
          <w:rPr>
            <w:noProof/>
            <w:webHidden/>
          </w:rPr>
          <w:tab/>
        </w:r>
        <w:r>
          <w:rPr>
            <w:noProof/>
            <w:webHidden/>
          </w:rPr>
          <w:fldChar w:fldCharType="begin"/>
        </w:r>
        <w:r w:rsidR="001646BE">
          <w:rPr>
            <w:noProof/>
            <w:webHidden/>
          </w:rPr>
          <w:instrText xml:space="preserve"> PAGEREF _Toc296339039 \h </w:instrText>
        </w:r>
        <w:r>
          <w:rPr>
            <w:noProof/>
            <w:webHidden/>
          </w:rPr>
        </w:r>
        <w:r>
          <w:rPr>
            <w:noProof/>
            <w:webHidden/>
          </w:rPr>
          <w:fldChar w:fldCharType="separate"/>
        </w:r>
        <w:r w:rsidR="00031686">
          <w:rPr>
            <w:noProof/>
            <w:webHidden/>
          </w:rPr>
          <w:t>73</w:t>
        </w:r>
        <w:r>
          <w:rPr>
            <w:noProof/>
            <w:webHidden/>
          </w:rPr>
          <w:fldChar w:fldCharType="end"/>
        </w:r>
      </w:hyperlink>
    </w:p>
    <w:p w:rsidR="001646BE" w:rsidRDefault="004D5F73">
      <w:pPr>
        <w:pStyle w:val="TOC3"/>
        <w:tabs>
          <w:tab w:val="left" w:pos="1320"/>
          <w:tab w:val="right" w:leader="dot" w:pos="9062"/>
        </w:tabs>
        <w:rPr>
          <w:noProof/>
          <w:lang w:val="hr-HR" w:eastAsia="hr-HR"/>
        </w:rPr>
      </w:pPr>
      <w:hyperlink w:anchor="_Toc296339040" w:history="1">
        <w:r w:rsidR="001646BE" w:rsidRPr="00AD7113">
          <w:rPr>
            <w:rStyle w:val="Hyperlink"/>
            <w:noProof/>
          </w:rPr>
          <w:t>4.3.3</w:t>
        </w:r>
        <w:r w:rsidR="001646BE">
          <w:rPr>
            <w:rStyle w:val="Hyperlink"/>
            <w:noProof/>
          </w:rPr>
          <w:t xml:space="preserve">         </w:t>
        </w:r>
        <w:r w:rsidR="001646BE" w:rsidRPr="00AD7113">
          <w:rPr>
            <w:rStyle w:val="Hyperlink"/>
            <w:noProof/>
          </w:rPr>
          <w:t>SCENARIJ DINAMIČKOG PODRUČJA ODGOVORNOSTI</w:t>
        </w:r>
        <w:r w:rsidR="001646BE">
          <w:rPr>
            <w:noProof/>
            <w:webHidden/>
          </w:rPr>
          <w:tab/>
        </w:r>
        <w:r>
          <w:rPr>
            <w:noProof/>
            <w:webHidden/>
          </w:rPr>
          <w:fldChar w:fldCharType="begin"/>
        </w:r>
        <w:r w:rsidR="001646BE">
          <w:rPr>
            <w:noProof/>
            <w:webHidden/>
          </w:rPr>
          <w:instrText xml:space="preserve"> PAGEREF _Toc296339040 \h </w:instrText>
        </w:r>
        <w:r>
          <w:rPr>
            <w:noProof/>
            <w:webHidden/>
          </w:rPr>
        </w:r>
        <w:r>
          <w:rPr>
            <w:noProof/>
            <w:webHidden/>
          </w:rPr>
          <w:fldChar w:fldCharType="separate"/>
        </w:r>
        <w:r w:rsidR="00031686">
          <w:rPr>
            <w:noProof/>
            <w:webHidden/>
          </w:rPr>
          <w:t>76</w:t>
        </w:r>
        <w:r>
          <w:rPr>
            <w:noProof/>
            <w:webHidden/>
          </w:rPr>
          <w:fldChar w:fldCharType="end"/>
        </w:r>
      </w:hyperlink>
    </w:p>
    <w:p w:rsidR="001646BE" w:rsidRDefault="004D5F73">
      <w:pPr>
        <w:pStyle w:val="TOC2"/>
        <w:rPr>
          <w:noProof/>
          <w:lang w:val="hr-HR" w:eastAsia="hr-HR"/>
        </w:rPr>
      </w:pPr>
      <w:hyperlink w:anchor="_Toc296339041" w:history="1">
        <w:r w:rsidR="001646BE" w:rsidRPr="00AD7113">
          <w:rPr>
            <w:rStyle w:val="Hyperlink"/>
            <w:noProof/>
          </w:rPr>
          <w:t>4.4</w:t>
        </w:r>
        <w:r w:rsidR="001646BE">
          <w:rPr>
            <w:noProof/>
            <w:lang w:val="hr-HR" w:eastAsia="hr-HR"/>
          </w:rPr>
          <w:tab/>
        </w:r>
        <w:r w:rsidR="001646BE" w:rsidRPr="00AD7113">
          <w:rPr>
            <w:rStyle w:val="Hyperlink"/>
            <w:noProof/>
          </w:rPr>
          <w:t xml:space="preserve">INSTITUCIONALNI USTROJ FUNKCIONALNOG BLOKA ZRAČNOG </w:t>
        </w:r>
        <w:r w:rsidR="001646BE">
          <w:rPr>
            <w:rStyle w:val="Hyperlink"/>
            <w:noProof/>
          </w:rPr>
          <w:t xml:space="preserve">       </w:t>
        </w:r>
        <w:r w:rsidR="001646BE" w:rsidRPr="00AD7113">
          <w:rPr>
            <w:rStyle w:val="Hyperlink"/>
            <w:noProof/>
          </w:rPr>
          <w:t>PROSTORA CENTRAL EUROPE</w:t>
        </w:r>
        <w:r w:rsidR="001646BE">
          <w:rPr>
            <w:noProof/>
            <w:webHidden/>
          </w:rPr>
          <w:tab/>
        </w:r>
        <w:r>
          <w:rPr>
            <w:noProof/>
            <w:webHidden/>
          </w:rPr>
          <w:fldChar w:fldCharType="begin"/>
        </w:r>
        <w:r w:rsidR="001646BE">
          <w:rPr>
            <w:noProof/>
            <w:webHidden/>
          </w:rPr>
          <w:instrText xml:space="preserve"> PAGEREF _Toc296339041 \h </w:instrText>
        </w:r>
        <w:r>
          <w:rPr>
            <w:noProof/>
            <w:webHidden/>
          </w:rPr>
        </w:r>
        <w:r>
          <w:rPr>
            <w:noProof/>
            <w:webHidden/>
          </w:rPr>
          <w:fldChar w:fldCharType="separate"/>
        </w:r>
        <w:r w:rsidR="00031686">
          <w:rPr>
            <w:noProof/>
            <w:webHidden/>
          </w:rPr>
          <w:t>80</w:t>
        </w:r>
        <w:r>
          <w:rPr>
            <w:noProof/>
            <w:webHidden/>
          </w:rPr>
          <w:fldChar w:fldCharType="end"/>
        </w:r>
      </w:hyperlink>
    </w:p>
    <w:p w:rsidR="001646BE" w:rsidRDefault="004D5F73">
      <w:pPr>
        <w:pStyle w:val="TOC2"/>
        <w:rPr>
          <w:noProof/>
          <w:lang w:val="hr-HR" w:eastAsia="hr-HR"/>
        </w:rPr>
      </w:pPr>
      <w:hyperlink w:anchor="_Toc296339042" w:history="1">
        <w:r w:rsidR="001646BE" w:rsidRPr="00AD7113">
          <w:rPr>
            <w:rStyle w:val="Hyperlink"/>
            <w:noProof/>
          </w:rPr>
          <w:t>4.5</w:t>
        </w:r>
        <w:r w:rsidR="001646BE">
          <w:rPr>
            <w:noProof/>
            <w:lang w:val="hr-HR" w:eastAsia="hr-HR"/>
          </w:rPr>
          <w:tab/>
        </w:r>
        <w:r w:rsidR="001646BE" w:rsidRPr="00AD7113">
          <w:rPr>
            <w:rStyle w:val="Hyperlink"/>
            <w:noProof/>
          </w:rPr>
          <w:t>EKONOMSKI ASPEKT</w:t>
        </w:r>
        <w:r w:rsidR="001646BE">
          <w:rPr>
            <w:noProof/>
            <w:webHidden/>
          </w:rPr>
          <w:tab/>
        </w:r>
        <w:r>
          <w:rPr>
            <w:noProof/>
            <w:webHidden/>
          </w:rPr>
          <w:fldChar w:fldCharType="begin"/>
        </w:r>
        <w:r w:rsidR="001646BE">
          <w:rPr>
            <w:noProof/>
            <w:webHidden/>
          </w:rPr>
          <w:instrText xml:space="preserve"> PAGEREF _Toc296339042 \h </w:instrText>
        </w:r>
        <w:r>
          <w:rPr>
            <w:noProof/>
            <w:webHidden/>
          </w:rPr>
        </w:r>
        <w:r>
          <w:rPr>
            <w:noProof/>
            <w:webHidden/>
          </w:rPr>
          <w:fldChar w:fldCharType="separate"/>
        </w:r>
        <w:r w:rsidR="00031686">
          <w:rPr>
            <w:noProof/>
            <w:webHidden/>
          </w:rPr>
          <w:t>84</w:t>
        </w:r>
        <w:r>
          <w:rPr>
            <w:noProof/>
            <w:webHidden/>
          </w:rPr>
          <w:fldChar w:fldCharType="end"/>
        </w:r>
      </w:hyperlink>
    </w:p>
    <w:p w:rsidR="001646BE" w:rsidRDefault="004D5F73" w:rsidP="000D7BF0">
      <w:pPr>
        <w:pStyle w:val="TOC1"/>
        <w:rPr>
          <w:noProof/>
          <w:lang w:val="hr-HR" w:eastAsia="hr-HR"/>
        </w:rPr>
      </w:pPr>
      <w:hyperlink w:anchor="_Toc296339043" w:history="1">
        <w:r w:rsidR="001646BE" w:rsidRPr="00AD7113">
          <w:rPr>
            <w:rStyle w:val="Hyperlink"/>
            <w:noProof/>
          </w:rPr>
          <w:t xml:space="preserve">5  </w:t>
        </w:r>
        <w:r w:rsidR="001646BE">
          <w:rPr>
            <w:rStyle w:val="Hyperlink"/>
            <w:noProof/>
          </w:rPr>
          <w:tab/>
        </w:r>
        <w:r w:rsidR="001646BE" w:rsidRPr="00AD7113">
          <w:rPr>
            <w:rStyle w:val="Hyperlink"/>
            <w:noProof/>
          </w:rPr>
          <w:t>ZAKLJUČAK</w:t>
        </w:r>
        <w:r w:rsidR="001646BE">
          <w:rPr>
            <w:noProof/>
            <w:webHidden/>
          </w:rPr>
          <w:tab/>
        </w:r>
        <w:r>
          <w:rPr>
            <w:noProof/>
            <w:webHidden/>
          </w:rPr>
          <w:fldChar w:fldCharType="begin"/>
        </w:r>
        <w:r w:rsidR="001646BE">
          <w:rPr>
            <w:noProof/>
            <w:webHidden/>
          </w:rPr>
          <w:instrText xml:space="preserve"> PAGEREF _Toc296339043 \h </w:instrText>
        </w:r>
        <w:r>
          <w:rPr>
            <w:noProof/>
            <w:webHidden/>
          </w:rPr>
        </w:r>
        <w:r>
          <w:rPr>
            <w:noProof/>
            <w:webHidden/>
          </w:rPr>
          <w:fldChar w:fldCharType="separate"/>
        </w:r>
        <w:r w:rsidR="00031686">
          <w:rPr>
            <w:noProof/>
            <w:webHidden/>
          </w:rPr>
          <w:t>86</w:t>
        </w:r>
        <w:r>
          <w:rPr>
            <w:noProof/>
            <w:webHidden/>
          </w:rPr>
          <w:fldChar w:fldCharType="end"/>
        </w:r>
      </w:hyperlink>
    </w:p>
    <w:p w:rsidR="001646BE" w:rsidRDefault="004D5F73" w:rsidP="000D7BF0">
      <w:pPr>
        <w:pStyle w:val="TOC1"/>
        <w:rPr>
          <w:noProof/>
          <w:lang w:val="hr-HR" w:eastAsia="hr-HR"/>
        </w:rPr>
      </w:pPr>
      <w:hyperlink w:anchor="_Toc296339044" w:history="1">
        <w:r w:rsidR="001646BE">
          <w:rPr>
            <w:rStyle w:val="Hyperlink"/>
            <w:noProof/>
          </w:rPr>
          <w:tab/>
        </w:r>
        <w:r w:rsidR="001646BE" w:rsidRPr="00AD7113">
          <w:rPr>
            <w:rStyle w:val="Hyperlink"/>
            <w:noProof/>
          </w:rPr>
          <w:t>LITERATURA</w:t>
        </w:r>
        <w:r w:rsidR="001646BE">
          <w:rPr>
            <w:noProof/>
            <w:webHidden/>
          </w:rPr>
          <w:tab/>
        </w:r>
        <w:r>
          <w:rPr>
            <w:noProof/>
            <w:webHidden/>
          </w:rPr>
          <w:fldChar w:fldCharType="begin"/>
        </w:r>
        <w:r w:rsidR="001646BE">
          <w:rPr>
            <w:noProof/>
            <w:webHidden/>
          </w:rPr>
          <w:instrText xml:space="preserve"> PAGEREF _Toc296339044 \h </w:instrText>
        </w:r>
        <w:r>
          <w:rPr>
            <w:noProof/>
            <w:webHidden/>
          </w:rPr>
        </w:r>
        <w:r>
          <w:rPr>
            <w:noProof/>
            <w:webHidden/>
          </w:rPr>
          <w:fldChar w:fldCharType="separate"/>
        </w:r>
        <w:r w:rsidR="00031686">
          <w:rPr>
            <w:noProof/>
            <w:webHidden/>
          </w:rPr>
          <w:t>90</w:t>
        </w:r>
        <w:r>
          <w:rPr>
            <w:noProof/>
            <w:webHidden/>
          </w:rPr>
          <w:fldChar w:fldCharType="end"/>
        </w:r>
      </w:hyperlink>
    </w:p>
    <w:p w:rsidR="001646BE" w:rsidRDefault="004D5F73" w:rsidP="003715C5">
      <w:pPr>
        <w:jc w:val="center"/>
        <w:rPr>
          <w:sz w:val="40"/>
          <w:szCs w:val="40"/>
        </w:rPr>
      </w:pPr>
      <w:r>
        <w:fldChar w:fldCharType="end"/>
      </w:r>
    </w:p>
    <w:p w:rsidR="001646BE" w:rsidRDefault="001646BE" w:rsidP="000D7BF0">
      <w:pPr>
        <w:rPr>
          <w:sz w:val="40"/>
          <w:szCs w:val="40"/>
        </w:rPr>
        <w:sectPr w:rsidR="001646BE" w:rsidSect="0071569F">
          <w:pgSz w:w="11906" w:h="16838"/>
          <w:pgMar w:top="1417" w:right="1417" w:bottom="1417" w:left="1417" w:header="708" w:footer="708" w:gutter="0"/>
          <w:cols w:space="708"/>
          <w:docGrid w:linePitch="360"/>
        </w:sectPr>
      </w:pPr>
    </w:p>
    <w:p w:rsidR="001646BE" w:rsidRDefault="001646BE" w:rsidP="004F562E">
      <w:pPr>
        <w:pStyle w:val="Heading1"/>
        <w:numPr>
          <w:ilvl w:val="0"/>
          <w:numId w:val="0"/>
        </w:numPr>
        <w:spacing w:before="0"/>
      </w:pPr>
      <w:bookmarkStart w:id="10" w:name="_Ref295659125"/>
      <w:bookmarkStart w:id="11" w:name="_Toc296339006"/>
      <w:r>
        <w:lastRenderedPageBreak/>
        <w:t xml:space="preserve">1  </w:t>
      </w:r>
      <w:r w:rsidRPr="003715C5">
        <w:t>UVOD</w:t>
      </w:r>
      <w:bookmarkEnd w:id="10"/>
      <w:bookmarkEnd w:id="11"/>
    </w:p>
    <w:p w:rsidR="001646BE" w:rsidRDefault="001646BE" w:rsidP="00BC2D56"/>
    <w:p w:rsidR="001646BE" w:rsidRDefault="001646BE" w:rsidP="002E7349">
      <w:pPr>
        <w:ind w:firstLine="360"/>
      </w:pPr>
      <w:r>
        <w:t>U procesu europskih integracija Hrvatska adoptira zrakoplovnu legislativu Europske Unije te participira u reformacijskim procesima sukladno Europskoj strategiji upravljanja zračnim prometom i vezanim regulativnim paketima „jedinstvenog europskog neba“. U tom kontekstu pozicija nacionalnog sustava upravljanja zračnim prometom delegirana je regiji srednje Europe u sklopu funkcionalnog bloka zračnog prostora, pri čemu strategijska važnost Hrvatske proizlazi iz granične pozicije te regije sa zračnim prostorom regije jugoistočne Europe, koja je kritična s aspekta implementacije legislative „jedinstvenog europskog neba“.</w:t>
      </w:r>
    </w:p>
    <w:p w:rsidR="001646BE" w:rsidRDefault="001646BE" w:rsidP="002E7349">
      <w:pPr>
        <w:ind w:firstLine="360"/>
      </w:pPr>
      <w:r>
        <w:t>Svrha ovog rada je analiza postojećeg statusa implementacije europske strategije upravljanja zračnim prometom, te projekcija razvoja regionalnog ustroja zračnog prometa slijedom implementacije legislative „jedinstvenog europskog neba“. Cilj rada je detektiranje strategijske pozicije i razvojnih potencijala nacionalnog sustava upravljanja zračnim prometom u regiji srednje Europe, tj. u funkcionalnom bloku zračnog prostora Central Europe.</w:t>
      </w:r>
    </w:p>
    <w:p w:rsidR="001646BE" w:rsidRDefault="001646BE" w:rsidP="002E7349">
      <w:pPr>
        <w:ind w:firstLine="360"/>
      </w:pPr>
      <w:r>
        <w:t xml:space="preserve">Ciljana istraživanja tematike regionalizacije europskog sustava upravljanja zračnog prometa dio su protokola implementacije strategijskih ciljeva Europskog sustava upravljanja zračnim prometom. Na nacionalnoj razini istraživanja tematike integracijskih i reformacijskih procesa zrakoplovne operative te problematike harmonizacije sustava kontrole letenja obavljaju se u sklopu znanstveno-istraživačkih projekata Zavoda za zračni promet, Fakulteta prometnih znanosti. </w:t>
      </w:r>
    </w:p>
    <w:p w:rsidR="001646BE" w:rsidRDefault="001646BE" w:rsidP="002E7349">
      <w:pPr>
        <w:ind w:firstLine="360"/>
      </w:pPr>
      <w:r>
        <w:t>Rezultati rada očekuju se u kronološkom pregledu europskog sustava upravljanja zračnim prometom te sistematizaciji relevantnih sadržaja implementacije legislative „jedinstvenog europskog neba“ u nacionalnoj zrakoplovnoj regulativi, projekciji daljnjeg razvoja i razvojnih potencijala Hrvatske u regiji srednje Europe.</w:t>
      </w:r>
    </w:p>
    <w:p w:rsidR="001646BE" w:rsidRDefault="001646BE" w:rsidP="00BC2D56"/>
    <w:p w:rsidR="001646BE" w:rsidRDefault="001646BE" w:rsidP="00BC2D56"/>
    <w:p w:rsidR="001646BE" w:rsidRDefault="001646BE" w:rsidP="00BC2D56"/>
    <w:p w:rsidR="001646BE" w:rsidRDefault="001646BE" w:rsidP="00F57CCB">
      <w:pPr>
        <w:pStyle w:val="Heading1"/>
        <w:numPr>
          <w:ilvl w:val="0"/>
          <w:numId w:val="0"/>
        </w:numPr>
        <w:ind w:left="360" w:hanging="360"/>
      </w:pPr>
      <w:bookmarkStart w:id="12" w:name="_Toc296339007"/>
      <w:r>
        <w:lastRenderedPageBreak/>
        <w:t>2</w:t>
      </w:r>
      <w:r>
        <w:tab/>
        <w:t>EUROPSKI PROGRAM „JEDINSTVENO EUROPSKO NEBO“</w:t>
      </w:r>
      <w:bookmarkEnd w:id="12"/>
    </w:p>
    <w:p w:rsidR="001646BE" w:rsidRDefault="001646BE" w:rsidP="006F0794">
      <w:pPr>
        <w:ind w:firstLine="360"/>
      </w:pPr>
    </w:p>
    <w:p w:rsidR="001646BE" w:rsidRDefault="001646BE" w:rsidP="007E5BEC">
      <w:pPr>
        <w:ind w:firstLine="360"/>
      </w:pPr>
      <w:r>
        <w:t>Odluka o kreaciji programa „Jedinstveno europsko nebo“ (SES</w:t>
      </w:r>
      <w:r>
        <w:rPr>
          <w:rStyle w:val="FootnoteReference"/>
        </w:rPr>
        <w:footnoteReference w:id="1"/>
      </w:r>
      <w:r>
        <w:t>) usvojena je početkom prosinca 1999. godine u Bruxellesu priopćenjem Europske Komisije. Nakon priopćenja osniva se HLG</w:t>
      </w:r>
      <w:r>
        <w:rPr>
          <w:rStyle w:val="FootnoteReference"/>
        </w:rPr>
        <w:footnoteReference w:id="2"/>
      </w:r>
      <w:r>
        <w:t xml:space="preserve"> čiji su zadaci bili definiranje, analiza i preporuke oko implementacije programa Jedinstvenog europskog neba. Razlozi uvođenja SES programa proizlaze iz porasta zagušenja zračnog prometa iznad Europe, kontinuiranog rasta zračnog prometa, a time i povećanja vremena kašnjenja zrakoplova, velikih ekonomskih gubitaka i utjecaja na gospodarstvo. Sve provedene analize ukazivale su trend daljnjeg pogoršavanja navedenog stanja i projekciju dodatnih gubitaka te gomilanje troškova. Procjenjeni indirektni troškovi zbog zagušenja i kašnjenja iznosili su 5.4 milijardi eura godišnje [1].</w:t>
      </w:r>
    </w:p>
    <w:p w:rsidR="001646BE" w:rsidRDefault="001646BE" w:rsidP="007E5BEC">
      <w:pPr>
        <w:ind w:firstLine="360"/>
        <w:rPr>
          <w:sz w:val="20"/>
          <w:szCs w:val="20"/>
        </w:rPr>
      </w:pPr>
      <w:r>
        <w:t xml:space="preserve"> Osim zagušenja uzrokovanih operativnom politikom zrakoplovnih kompanija i zračnih luka, velik dio zagušenja proizlazi iz zasićenosti zračnog prostora, stoga se kao logično rješenje, uz tehničku i metodološku nadogradnju sustava, nameće ideja o preustroju istog. Tablica 1 prikazuje podatke o letovima u kašnjenju u razdoblju od 1997. – 1999. zbog ATC</w:t>
      </w:r>
      <w:r>
        <w:rPr>
          <w:rStyle w:val="FootnoteReference"/>
        </w:rPr>
        <w:footnoteReference w:id="3"/>
      </w:r>
      <w:r>
        <w:t xml:space="preserve"> razloga. Vidljiva je tendencija rasta prometa i kašnjenja letova.</w:t>
      </w:r>
      <w:r w:rsidRPr="007E5BEC">
        <w:rPr>
          <w:sz w:val="20"/>
          <w:szCs w:val="20"/>
        </w:rPr>
        <w:t xml:space="preserve">  </w:t>
      </w:r>
      <w:r>
        <w:rPr>
          <w:sz w:val="20"/>
          <w:szCs w:val="20"/>
        </w:rPr>
        <w:t xml:space="preserve">     </w:t>
      </w:r>
    </w:p>
    <w:p w:rsidR="001646BE" w:rsidRPr="00B71727" w:rsidRDefault="001646BE" w:rsidP="00B01B13">
      <w:pPr>
        <w:spacing w:after="0" w:line="240" w:lineRule="auto"/>
        <w:ind w:firstLine="284"/>
        <w:rPr>
          <w:b/>
          <w:bCs/>
          <w:sz w:val="20"/>
          <w:szCs w:val="20"/>
        </w:rPr>
      </w:pPr>
      <w:r>
        <w:rPr>
          <w:b/>
          <w:bCs/>
          <w:sz w:val="20"/>
          <w:szCs w:val="20"/>
        </w:rPr>
        <w:t xml:space="preserve">Tablica 1: </w:t>
      </w:r>
      <w:r w:rsidRPr="00B71727">
        <w:rPr>
          <w:b/>
          <w:bCs/>
          <w:sz w:val="20"/>
          <w:szCs w:val="20"/>
        </w:rPr>
        <w:t xml:space="preserve">podaci o letovima za razdoblje 1997. - 1999. godina. </w:t>
      </w:r>
      <w:r>
        <w:rPr>
          <w:b/>
          <w:bCs/>
          <w:sz w:val="20"/>
          <w:szCs w:val="20"/>
        </w:rPr>
        <w:t xml:space="preserve"> </w:t>
      </w:r>
    </w:p>
    <w:tbl>
      <w:tblPr>
        <w:tblW w:w="8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35"/>
        <w:gridCol w:w="1928"/>
        <w:gridCol w:w="1928"/>
        <w:gridCol w:w="1928"/>
      </w:tblGrid>
      <w:tr w:rsidR="001646BE" w:rsidRPr="003A4F00">
        <w:trPr>
          <w:trHeight w:val="567"/>
          <w:jc w:val="center"/>
        </w:trPr>
        <w:tc>
          <w:tcPr>
            <w:tcW w:w="2835" w:type="dxa"/>
            <w:vAlign w:val="center"/>
          </w:tcPr>
          <w:p w:rsidR="001646BE" w:rsidRPr="003A4F00" w:rsidRDefault="001646BE" w:rsidP="003A4F00">
            <w:pPr>
              <w:spacing w:after="0"/>
              <w:jc w:val="left"/>
              <w:rPr>
                <w:sz w:val="16"/>
                <w:szCs w:val="16"/>
              </w:rPr>
            </w:pPr>
          </w:p>
        </w:tc>
        <w:tc>
          <w:tcPr>
            <w:tcW w:w="1928" w:type="dxa"/>
            <w:vAlign w:val="center"/>
          </w:tcPr>
          <w:p w:rsidR="001646BE" w:rsidRPr="003A4F00" w:rsidRDefault="001646BE" w:rsidP="003A4F00">
            <w:pPr>
              <w:spacing w:after="0"/>
              <w:rPr>
                <w:sz w:val="16"/>
                <w:szCs w:val="16"/>
              </w:rPr>
            </w:pPr>
            <w:r w:rsidRPr="003A4F00">
              <w:rPr>
                <w:sz w:val="16"/>
                <w:szCs w:val="16"/>
              </w:rPr>
              <w:t>LJETO 97</w:t>
            </w:r>
          </w:p>
        </w:tc>
        <w:tc>
          <w:tcPr>
            <w:tcW w:w="1928" w:type="dxa"/>
            <w:vAlign w:val="center"/>
          </w:tcPr>
          <w:p w:rsidR="001646BE" w:rsidRPr="003A4F00" w:rsidRDefault="001646BE" w:rsidP="003A4F00">
            <w:pPr>
              <w:spacing w:after="0"/>
              <w:rPr>
                <w:sz w:val="16"/>
                <w:szCs w:val="16"/>
              </w:rPr>
            </w:pPr>
            <w:r w:rsidRPr="003A4F00">
              <w:rPr>
                <w:sz w:val="16"/>
                <w:szCs w:val="16"/>
              </w:rPr>
              <w:t>LJETO 98</w:t>
            </w:r>
          </w:p>
        </w:tc>
        <w:tc>
          <w:tcPr>
            <w:tcW w:w="1928" w:type="dxa"/>
            <w:vAlign w:val="center"/>
          </w:tcPr>
          <w:p w:rsidR="001646BE" w:rsidRPr="003A4F00" w:rsidRDefault="001646BE" w:rsidP="003A4F00">
            <w:pPr>
              <w:spacing w:after="0"/>
              <w:rPr>
                <w:sz w:val="16"/>
                <w:szCs w:val="16"/>
              </w:rPr>
            </w:pPr>
            <w:r w:rsidRPr="003A4F00">
              <w:rPr>
                <w:sz w:val="16"/>
                <w:szCs w:val="16"/>
              </w:rPr>
              <w:t>LJETO 99</w:t>
            </w:r>
          </w:p>
        </w:tc>
      </w:tr>
      <w:tr w:rsidR="001646BE" w:rsidRPr="003A4F00">
        <w:trPr>
          <w:trHeight w:val="567"/>
          <w:jc w:val="center"/>
        </w:trPr>
        <w:tc>
          <w:tcPr>
            <w:tcW w:w="2835" w:type="dxa"/>
            <w:vAlign w:val="center"/>
          </w:tcPr>
          <w:p w:rsidR="001646BE" w:rsidRPr="003A4F00" w:rsidRDefault="001646BE" w:rsidP="003A4F00">
            <w:pPr>
              <w:spacing w:after="0"/>
              <w:jc w:val="left"/>
              <w:rPr>
                <w:sz w:val="16"/>
                <w:szCs w:val="16"/>
              </w:rPr>
            </w:pPr>
            <w:r w:rsidRPr="003A4F00">
              <w:rPr>
                <w:sz w:val="16"/>
                <w:szCs w:val="16"/>
              </w:rPr>
              <w:t>PROMET</w:t>
            </w:r>
          </w:p>
        </w:tc>
        <w:tc>
          <w:tcPr>
            <w:tcW w:w="1928" w:type="dxa"/>
            <w:vAlign w:val="center"/>
          </w:tcPr>
          <w:p w:rsidR="001646BE" w:rsidRPr="003A4F00" w:rsidRDefault="00EA745D" w:rsidP="003A4F00">
            <w:pPr>
              <w:spacing w:after="0"/>
              <w:rPr>
                <w:sz w:val="16"/>
                <w:szCs w:val="16"/>
              </w:rPr>
            </w:pPr>
            <w:r>
              <w:rPr>
                <w:sz w:val="20"/>
                <w:szCs w:val="20"/>
              </w:rPr>
              <w:t>3.372.</w:t>
            </w:r>
            <w:r w:rsidR="001646BE" w:rsidRPr="003A4F00">
              <w:rPr>
                <w:sz w:val="20"/>
                <w:szCs w:val="20"/>
              </w:rPr>
              <w:t>597</w:t>
            </w:r>
          </w:p>
        </w:tc>
        <w:tc>
          <w:tcPr>
            <w:tcW w:w="1928" w:type="dxa"/>
            <w:vAlign w:val="center"/>
          </w:tcPr>
          <w:p w:rsidR="001646BE" w:rsidRPr="003A4F00" w:rsidRDefault="00EA745D" w:rsidP="003A4F00">
            <w:pPr>
              <w:spacing w:after="0"/>
              <w:rPr>
                <w:sz w:val="16"/>
                <w:szCs w:val="16"/>
              </w:rPr>
            </w:pPr>
            <w:r>
              <w:rPr>
                <w:sz w:val="20"/>
                <w:szCs w:val="20"/>
              </w:rPr>
              <w:t>3.557.</w:t>
            </w:r>
            <w:r w:rsidR="001646BE" w:rsidRPr="003A4F00">
              <w:rPr>
                <w:sz w:val="20"/>
                <w:szCs w:val="20"/>
              </w:rPr>
              <w:t>224 (+5.5%)</w:t>
            </w:r>
          </w:p>
        </w:tc>
        <w:tc>
          <w:tcPr>
            <w:tcW w:w="1928" w:type="dxa"/>
            <w:vAlign w:val="center"/>
          </w:tcPr>
          <w:p w:rsidR="001646BE" w:rsidRPr="003A4F00" w:rsidRDefault="00EA745D" w:rsidP="003A4F00">
            <w:pPr>
              <w:spacing w:after="0"/>
              <w:rPr>
                <w:sz w:val="16"/>
                <w:szCs w:val="16"/>
              </w:rPr>
            </w:pPr>
            <w:r>
              <w:rPr>
                <w:sz w:val="20"/>
                <w:szCs w:val="20"/>
              </w:rPr>
              <w:t>3.781.</w:t>
            </w:r>
            <w:r w:rsidR="001646BE" w:rsidRPr="003A4F00">
              <w:rPr>
                <w:sz w:val="20"/>
                <w:szCs w:val="20"/>
              </w:rPr>
              <w:t>028 (+6.3%)</w:t>
            </w:r>
          </w:p>
        </w:tc>
      </w:tr>
      <w:tr w:rsidR="001646BE" w:rsidRPr="003A4F00">
        <w:trPr>
          <w:trHeight w:val="567"/>
          <w:jc w:val="center"/>
        </w:trPr>
        <w:tc>
          <w:tcPr>
            <w:tcW w:w="2835" w:type="dxa"/>
            <w:vAlign w:val="center"/>
          </w:tcPr>
          <w:p w:rsidR="001646BE" w:rsidRPr="003A4F00" w:rsidRDefault="001646BE" w:rsidP="003A4F00">
            <w:pPr>
              <w:spacing w:after="0"/>
              <w:jc w:val="left"/>
              <w:rPr>
                <w:sz w:val="16"/>
                <w:szCs w:val="16"/>
              </w:rPr>
            </w:pPr>
            <w:r w:rsidRPr="003A4F00">
              <w:rPr>
                <w:sz w:val="16"/>
                <w:szCs w:val="16"/>
              </w:rPr>
              <w:t xml:space="preserve"> LETOVI U KAŠNJENJU</w:t>
            </w:r>
          </w:p>
        </w:tc>
        <w:tc>
          <w:tcPr>
            <w:tcW w:w="1928" w:type="dxa"/>
            <w:vAlign w:val="center"/>
          </w:tcPr>
          <w:p w:rsidR="001646BE" w:rsidRPr="003A4F00" w:rsidRDefault="00EA745D" w:rsidP="003A4F00">
            <w:pPr>
              <w:spacing w:after="0"/>
              <w:rPr>
                <w:sz w:val="16"/>
                <w:szCs w:val="16"/>
              </w:rPr>
            </w:pPr>
            <w:r>
              <w:rPr>
                <w:sz w:val="20"/>
                <w:szCs w:val="20"/>
              </w:rPr>
              <w:t>623.</w:t>
            </w:r>
            <w:r w:rsidR="001646BE" w:rsidRPr="003A4F00">
              <w:rPr>
                <w:sz w:val="20"/>
                <w:szCs w:val="20"/>
              </w:rPr>
              <w:t>539</w:t>
            </w:r>
          </w:p>
        </w:tc>
        <w:tc>
          <w:tcPr>
            <w:tcW w:w="1928" w:type="dxa"/>
            <w:vAlign w:val="center"/>
          </w:tcPr>
          <w:p w:rsidR="001646BE" w:rsidRPr="003A4F00" w:rsidRDefault="00EA745D" w:rsidP="003A4F00">
            <w:pPr>
              <w:spacing w:after="0"/>
              <w:rPr>
                <w:sz w:val="16"/>
                <w:szCs w:val="16"/>
              </w:rPr>
            </w:pPr>
            <w:r>
              <w:rPr>
                <w:sz w:val="20"/>
                <w:szCs w:val="20"/>
              </w:rPr>
              <w:t>753.</w:t>
            </w:r>
            <w:r w:rsidR="001646BE" w:rsidRPr="003A4F00">
              <w:rPr>
                <w:sz w:val="20"/>
                <w:szCs w:val="20"/>
              </w:rPr>
              <w:t>062 (+20.8%)</w:t>
            </w:r>
          </w:p>
        </w:tc>
        <w:tc>
          <w:tcPr>
            <w:tcW w:w="1928" w:type="dxa"/>
            <w:vAlign w:val="center"/>
          </w:tcPr>
          <w:p w:rsidR="001646BE" w:rsidRPr="003A4F00" w:rsidRDefault="00EA745D" w:rsidP="003A4F00">
            <w:pPr>
              <w:spacing w:after="0"/>
              <w:rPr>
                <w:sz w:val="16"/>
                <w:szCs w:val="16"/>
              </w:rPr>
            </w:pPr>
            <w:r>
              <w:rPr>
                <w:sz w:val="20"/>
                <w:szCs w:val="20"/>
              </w:rPr>
              <w:t>929.</w:t>
            </w:r>
            <w:r w:rsidR="001646BE" w:rsidRPr="003A4F00">
              <w:rPr>
                <w:sz w:val="20"/>
                <w:szCs w:val="20"/>
              </w:rPr>
              <w:t>268 (+23.4%)</w:t>
            </w:r>
          </w:p>
        </w:tc>
      </w:tr>
      <w:tr w:rsidR="001646BE" w:rsidRPr="003A4F00">
        <w:trPr>
          <w:trHeight w:val="567"/>
          <w:jc w:val="center"/>
        </w:trPr>
        <w:tc>
          <w:tcPr>
            <w:tcW w:w="2835" w:type="dxa"/>
            <w:vAlign w:val="center"/>
          </w:tcPr>
          <w:p w:rsidR="001646BE" w:rsidRPr="003A4F00" w:rsidRDefault="001646BE" w:rsidP="003A4F00">
            <w:pPr>
              <w:spacing w:after="0"/>
              <w:jc w:val="left"/>
              <w:rPr>
                <w:sz w:val="16"/>
                <w:szCs w:val="16"/>
              </w:rPr>
            </w:pPr>
            <w:r w:rsidRPr="003A4F00">
              <w:rPr>
                <w:sz w:val="16"/>
                <w:szCs w:val="16"/>
              </w:rPr>
              <w:t xml:space="preserve">POSTOTAK  KAŠNJENJA LETOVA </w:t>
            </w:r>
          </w:p>
        </w:tc>
        <w:tc>
          <w:tcPr>
            <w:tcW w:w="1928" w:type="dxa"/>
            <w:vAlign w:val="center"/>
          </w:tcPr>
          <w:p w:rsidR="001646BE" w:rsidRPr="003A4F00" w:rsidRDefault="001646BE" w:rsidP="003A4F00">
            <w:pPr>
              <w:spacing w:after="0"/>
              <w:rPr>
                <w:sz w:val="16"/>
                <w:szCs w:val="16"/>
              </w:rPr>
            </w:pPr>
            <w:r w:rsidRPr="003A4F00">
              <w:rPr>
                <w:sz w:val="20"/>
                <w:szCs w:val="20"/>
              </w:rPr>
              <w:t>18.5%</w:t>
            </w:r>
          </w:p>
        </w:tc>
        <w:tc>
          <w:tcPr>
            <w:tcW w:w="1928" w:type="dxa"/>
            <w:vAlign w:val="center"/>
          </w:tcPr>
          <w:p w:rsidR="001646BE" w:rsidRPr="003A4F00" w:rsidRDefault="001646BE" w:rsidP="003A4F00">
            <w:pPr>
              <w:spacing w:after="0"/>
              <w:rPr>
                <w:sz w:val="16"/>
                <w:szCs w:val="16"/>
              </w:rPr>
            </w:pPr>
            <w:r w:rsidRPr="003A4F00">
              <w:rPr>
                <w:sz w:val="20"/>
                <w:szCs w:val="20"/>
              </w:rPr>
              <w:t>21.2%</w:t>
            </w:r>
          </w:p>
        </w:tc>
        <w:tc>
          <w:tcPr>
            <w:tcW w:w="1928" w:type="dxa"/>
            <w:vAlign w:val="center"/>
          </w:tcPr>
          <w:p w:rsidR="001646BE" w:rsidRPr="003A4F00" w:rsidRDefault="001646BE" w:rsidP="003A4F00">
            <w:pPr>
              <w:spacing w:after="0"/>
              <w:rPr>
                <w:sz w:val="16"/>
                <w:szCs w:val="16"/>
              </w:rPr>
            </w:pPr>
            <w:r w:rsidRPr="003A4F00">
              <w:rPr>
                <w:sz w:val="20"/>
                <w:szCs w:val="20"/>
              </w:rPr>
              <w:t>24.6%</w:t>
            </w:r>
          </w:p>
        </w:tc>
      </w:tr>
      <w:tr w:rsidR="001646BE" w:rsidRPr="003A4F00">
        <w:trPr>
          <w:trHeight w:val="567"/>
          <w:jc w:val="center"/>
        </w:trPr>
        <w:tc>
          <w:tcPr>
            <w:tcW w:w="2835" w:type="dxa"/>
            <w:vAlign w:val="center"/>
          </w:tcPr>
          <w:p w:rsidR="001646BE" w:rsidRPr="003A4F00" w:rsidRDefault="001646BE" w:rsidP="003A4F00">
            <w:pPr>
              <w:spacing w:after="0"/>
              <w:jc w:val="left"/>
            </w:pPr>
            <w:r w:rsidRPr="003A4F00">
              <w:rPr>
                <w:sz w:val="16"/>
                <w:szCs w:val="16"/>
              </w:rPr>
              <w:t>KAŠNJENJE PO LETU</w:t>
            </w:r>
          </w:p>
        </w:tc>
        <w:tc>
          <w:tcPr>
            <w:tcW w:w="1928" w:type="dxa"/>
            <w:vAlign w:val="center"/>
          </w:tcPr>
          <w:p w:rsidR="001646BE" w:rsidRPr="003A4F00" w:rsidRDefault="001646BE" w:rsidP="003A4F00">
            <w:pPr>
              <w:spacing w:after="0"/>
            </w:pPr>
            <w:r w:rsidRPr="003A4F00">
              <w:rPr>
                <w:sz w:val="20"/>
                <w:szCs w:val="20"/>
              </w:rPr>
              <w:t>20 minuta</w:t>
            </w:r>
          </w:p>
        </w:tc>
        <w:tc>
          <w:tcPr>
            <w:tcW w:w="1928" w:type="dxa"/>
            <w:vAlign w:val="center"/>
          </w:tcPr>
          <w:p w:rsidR="001646BE" w:rsidRPr="003A4F00" w:rsidRDefault="001646BE" w:rsidP="003A4F00">
            <w:pPr>
              <w:spacing w:after="0"/>
            </w:pPr>
            <w:r w:rsidRPr="003A4F00">
              <w:rPr>
                <w:sz w:val="20"/>
                <w:szCs w:val="20"/>
              </w:rPr>
              <w:t>23 minuta</w:t>
            </w:r>
          </w:p>
        </w:tc>
        <w:tc>
          <w:tcPr>
            <w:tcW w:w="1928" w:type="dxa"/>
            <w:vAlign w:val="center"/>
          </w:tcPr>
          <w:p w:rsidR="001646BE" w:rsidRPr="003A4F00" w:rsidRDefault="001646BE" w:rsidP="003A4F00">
            <w:pPr>
              <w:spacing w:after="0"/>
            </w:pPr>
            <w:r w:rsidRPr="003A4F00">
              <w:rPr>
                <w:sz w:val="20"/>
                <w:szCs w:val="20"/>
              </w:rPr>
              <w:t>26.4 minuta</w:t>
            </w:r>
          </w:p>
        </w:tc>
      </w:tr>
    </w:tbl>
    <w:p w:rsidR="001646BE" w:rsidRPr="007E5BEC" w:rsidRDefault="001646BE" w:rsidP="008C7F46">
      <w:pPr>
        <w:spacing w:line="240" w:lineRule="auto"/>
        <w:ind w:left="360"/>
        <w:rPr>
          <w:sz w:val="20"/>
          <w:szCs w:val="20"/>
        </w:rPr>
      </w:pPr>
      <w:r w:rsidRPr="007E5BEC">
        <w:rPr>
          <w:sz w:val="20"/>
          <w:szCs w:val="20"/>
        </w:rPr>
        <w:t>Izvor: CFMU</w:t>
      </w:r>
      <w:r w:rsidRPr="007E5BEC">
        <w:rPr>
          <w:rStyle w:val="FootnoteReference"/>
          <w:sz w:val="20"/>
          <w:szCs w:val="20"/>
        </w:rPr>
        <w:footnoteReference w:id="4"/>
      </w:r>
    </w:p>
    <w:p w:rsidR="001646BE" w:rsidRDefault="001646BE" w:rsidP="007E5BEC">
      <w:pPr>
        <w:ind w:firstLine="360"/>
      </w:pPr>
      <w:r>
        <w:t xml:space="preserve">Bitno je napomenuti i utjecaj na sigurnost s obzirom da i skroman rast zračnog prometa može znatno utjecati na sigurnost. SES program nastoji umanjiti utjecaj fragmentiranosti zračnog prostora iznad Europe, objedinjavanjem europskog neba u jedinstven sustav </w:t>
      </w:r>
      <w:r>
        <w:lastRenderedPageBreak/>
        <w:t>ukidanjem podjele europskog neba prema nacionalnim granicama. U tom kontekstu je donesena odluka o pokretanju SES programa kojim se namjerava ustrojiti jedinstven zračni prostor iznad Europe. Bitan čimbenik uvođenja SES programa nalazi se i u činjenici da Eurocontrol u svojoj strategiji i projekcijama razvoja zračnog prometa nije dao dovoljno pouzdane i adekvatne metode, kojima bi bilo moguće na zadovoljavajući način reagirati na kontinuirani rast zračnog prometa, bez povećanja zagušenja i kašnjenja.</w:t>
      </w:r>
    </w:p>
    <w:p w:rsidR="001646BE" w:rsidRDefault="001646BE" w:rsidP="006F0794">
      <w:pPr>
        <w:ind w:firstLine="360"/>
      </w:pPr>
      <w:r>
        <w:t xml:space="preserve">Program SES obuhvaća nacionalne pružatelje usluga kontrole zračnog prometa zemalja Europe, te planira postupnu uspostavu zajedničkog jedinstvenog zračnog prostora. S obzirom na velik broj i raznolikost sudionika uključenih u SES program i potrebno vrijeme za provođenje mjera, potrebno je uvesti kratkoročne mjere koje će osigurati nesmetan protok zračnog prometa prije nego SES program u potpunosti zaživi. Planiranje i uspostavu programa provodi Eurocontrol koji osigurava referentni okvir za sve uključene sudionike SES programa. Potrebno je uspostaviti čitav niz mjera kojima će se osigurati kompatibilnost svih uključenih sudionika i sustava u jedinstvenom SES okviru. Uloga Eurocontrola podrazumijeva i uspostavu alternativnih pravaca kretanja zračnog prometa, te pratećih planova u slučaju izvanrednih događaja [1]. </w:t>
      </w:r>
    </w:p>
    <w:p w:rsidR="001646BE" w:rsidRDefault="001646BE" w:rsidP="008C7F46">
      <w:pPr>
        <w:ind w:firstLine="360"/>
      </w:pPr>
      <w:r>
        <w:t xml:space="preserve">Program SES potrebno je prihvatiti i na nacionalnim razinama, te uklopiti i sinkronizirati nacionalne, regionalne i globalne planove. Iz tog razloga, SES program treba promatrati i kroz političke okvire. Kako bi se ovaj opsežan program uspio realizirati, jedan od bitnijih uvjeta podrazumijeva uspostavu mehanizama donošenja odluka, za što je potrebno osigurati određene mjere kojima će se taj uvjet ispuniti. Također, potrebno je osigurati odvajanje pružatelja usluga od regulatora, tj. ustrojiti zasebne organizacijske cjeline, kako bi se što efikasnije i sigurnije provodile sve potrebne aktivnosti. </w:t>
      </w:r>
    </w:p>
    <w:p w:rsidR="001646BE" w:rsidRDefault="001646BE" w:rsidP="005E605B">
      <w:pPr>
        <w:ind w:firstLine="360"/>
      </w:pPr>
      <w:r>
        <w:t xml:space="preserve">Prema SES programu zračni prostor iznad Europe promatra se kao zajedničko dobro kojim je potrebno kolektivno upravljati kao jedinstvenim zračnim prostorom, bez obzira na nacionalne granice, a u cilju zadovoljenja svih korisnika, kako civilnih tako i vojnih, uz maksimalnu optimizaciju sustava i procesa. Kako bi se to ostvarilo, potrebno je uspostaviti centralnu jedinicu koja će upravljati europskim zračnim prostorom na strateškoj i taktičkoj razini. </w:t>
      </w:r>
    </w:p>
    <w:p w:rsidR="001646BE" w:rsidRDefault="001646BE" w:rsidP="001846C1">
      <w:pPr>
        <w:pStyle w:val="Heading2"/>
        <w:ind w:left="705" w:hanging="705"/>
      </w:pPr>
      <w:bookmarkStart w:id="13" w:name="_Toc296339008"/>
      <w:r>
        <w:lastRenderedPageBreak/>
        <w:t>2.1</w:t>
      </w:r>
      <w:r>
        <w:tab/>
      </w:r>
      <w:r w:rsidR="004346EF">
        <w:t>REGULATIVNI</w:t>
      </w:r>
      <w:r>
        <w:t xml:space="preserve"> USTROJ JEDINSTVENOG EUROPSKOG NEBA</w:t>
      </w:r>
      <w:bookmarkEnd w:id="13"/>
    </w:p>
    <w:p w:rsidR="001646BE" w:rsidRDefault="001646BE" w:rsidP="0071769E"/>
    <w:p w:rsidR="001646BE" w:rsidRDefault="001646BE" w:rsidP="00100FEF">
      <w:pPr>
        <w:ind w:firstLine="360"/>
      </w:pPr>
      <w:r>
        <w:t xml:space="preserve">Nacrt regulativnog paketa koji je izrađen 2001. godine, prihvaćen je od Europskog Parlamenta i Europskog Vijeća krajem 2004. godine, te stupa na snagu mjesec dana kasnije. Zadaci prvog </w:t>
      </w:r>
      <w:r w:rsidR="004346EF">
        <w:t>regulativno</w:t>
      </w:r>
      <w:r>
        <w:t>g paketa odnosili su se na povećanje sigurnosti i efikasnosti zračnog prometa u Europi, smanjenje kašnjenja, poboljšanje usluge, smanjenje troškova kroz smanjenje fragmentiranosti ATM</w:t>
      </w:r>
      <w:r>
        <w:rPr>
          <w:rStyle w:val="FootnoteReference"/>
        </w:rPr>
        <w:footnoteReference w:id="5"/>
      </w:r>
      <w:r>
        <w:t>-a u Europi i integraciju vojnih sustava u europski ATM [</w:t>
      </w:r>
      <w:r w:rsidR="004D5F73">
        <w:fldChar w:fldCharType="begin"/>
      </w:r>
      <w:r>
        <w:instrText xml:space="preserve"> REF _Ref295933979 \r \h </w:instrText>
      </w:r>
      <w:r w:rsidR="004D5F73">
        <w:fldChar w:fldCharType="separate"/>
      </w:r>
      <w:r w:rsidR="00031686">
        <w:t>2</w:t>
      </w:r>
      <w:r w:rsidR="004D5F73">
        <w:fldChar w:fldCharType="end"/>
      </w:r>
      <w:r>
        <w:t>].</w:t>
      </w:r>
    </w:p>
    <w:p w:rsidR="001646BE" w:rsidRDefault="001646BE" w:rsidP="009800DC">
      <w:pPr>
        <w:ind w:firstLine="360"/>
      </w:pPr>
      <w:r>
        <w:t>Europski ATM koji je iznimno siguran, predstavlja skup sustav koji je problematičan zbog različitosti i fragmentiranosti nacionalnih ANSP</w:t>
      </w:r>
      <w:r>
        <w:rPr>
          <w:rStyle w:val="FootnoteReference"/>
        </w:rPr>
        <w:footnoteReference w:id="6"/>
      </w:r>
      <w:r>
        <w:t xml:space="preserve">-a. Prvi </w:t>
      </w:r>
      <w:r w:rsidR="004346EF">
        <w:t>regulativni</w:t>
      </w:r>
      <w:r>
        <w:t xml:space="preserve"> paket daje pristup rješavanju navedenih problema, ispunjava postavljene zahtjeve te omogućava europskom ATM-u uspješno svladavanje predviđenog rasta prometa. Sadrži četiri temeljne regulative koje poboljšavaju sigurnost, potiču rekonstrukciju europskog zračnog prostora i usluga zračne plovidbe, te pružaju okvir za stvaranje dodatnih kapaciteta, poboljšanje efikasnosti i interoperabilnost europskog ATM sustava.</w:t>
      </w:r>
    </w:p>
    <w:p w:rsidR="001646BE" w:rsidRDefault="001646BE" w:rsidP="001846C1">
      <w:pPr>
        <w:spacing w:after="0"/>
        <w:ind w:firstLine="360"/>
      </w:pPr>
      <w:r>
        <w:t xml:space="preserve">Navedene četiri temeljne regulative odnose se na: </w:t>
      </w:r>
    </w:p>
    <w:p w:rsidR="001646BE" w:rsidRDefault="001646BE" w:rsidP="00BB6526">
      <w:pPr>
        <w:pStyle w:val="ListParagraph"/>
        <w:numPr>
          <w:ilvl w:val="0"/>
          <w:numId w:val="2"/>
        </w:numPr>
        <w:spacing w:after="0"/>
      </w:pPr>
      <w:r>
        <w:t>okvir za stvaranje SES-a,</w:t>
      </w:r>
    </w:p>
    <w:p w:rsidR="001646BE" w:rsidRDefault="001646BE" w:rsidP="00BB6526">
      <w:pPr>
        <w:pStyle w:val="ListParagraph"/>
        <w:numPr>
          <w:ilvl w:val="0"/>
          <w:numId w:val="2"/>
        </w:numPr>
        <w:spacing w:after="0"/>
      </w:pPr>
      <w:r>
        <w:t>pružanje usluga u zračnoj plovidbi u SES-u,</w:t>
      </w:r>
    </w:p>
    <w:p w:rsidR="001646BE" w:rsidRDefault="001646BE" w:rsidP="00BB6526">
      <w:pPr>
        <w:pStyle w:val="ListParagraph"/>
        <w:numPr>
          <w:ilvl w:val="0"/>
          <w:numId w:val="2"/>
        </w:numPr>
        <w:spacing w:after="0"/>
      </w:pPr>
      <w:r>
        <w:t>organizacija i upotreba zračnog prostora u SES-u,</w:t>
      </w:r>
    </w:p>
    <w:p w:rsidR="001646BE" w:rsidRDefault="001646BE" w:rsidP="00BB6526">
      <w:pPr>
        <w:pStyle w:val="ListParagraph"/>
        <w:numPr>
          <w:ilvl w:val="0"/>
          <w:numId w:val="2"/>
        </w:numPr>
      </w:pPr>
      <w:r>
        <w:t>interoperabilnost europske mreže za upravljanje zračnim prometom.</w:t>
      </w:r>
    </w:p>
    <w:p w:rsidR="001646BE" w:rsidRDefault="001646BE" w:rsidP="001846C1">
      <w:pPr>
        <w:ind w:firstLine="360"/>
      </w:pPr>
      <w:r>
        <w:t xml:space="preserve">Implementacija odredbi prvog </w:t>
      </w:r>
      <w:r w:rsidR="004346EF">
        <w:t>regulativno</w:t>
      </w:r>
      <w:r>
        <w:t xml:space="preserve">g paketa SES-a donosi čitav niz značajnih poboljšanja, kao što su: povećanje razine sigurnosti, efektivnija i integriranija ATM arhitektura, pružanje usluga kontrole zračne plovidbe na principu potražnje, povećana prekogranična suradnja, te poboljšanje mehanizama donošenja odluka i primjenjivanje u ATM-u. </w:t>
      </w:r>
    </w:p>
    <w:p w:rsidR="001646BE" w:rsidRDefault="001646BE" w:rsidP="001846C1">
      <w:pPr>
        <w:spacing w:after="0"/>
        <w:ind w:firstLine="360"/>
      </w:pPr>
      <w:r>
        <w:t>Regulative su dopunjene dodatnim i detaljnijim odredbama nakon konzultacija sa ostalim relevantnim stranama, Eurocontrolom i predstavnicima zrakoplovne industrije.</w:t>
      </w:r>
    </w:p>
    <w:p w:rsidR="001646BE" w:rsidRDefault="001646BE" w:rsidP="00A01AF4">
      <w:pPr>
        <w:pStyle w:val="Heading3"/>
      </w:pPr>
      <w:bookmarkStart w:id="14" w:name="_Toc296339009"/>
      <w:r>
        <w:lastRenderedPageBreak/>
        <w:t>2.1.1</w:t>
      </w:r>
      <w:r>
        <w:tab/>
        <w:t>OKVIR ZA STVARANJE JEDINSTVENOG EUROPSKOG NEBA</w:t>
      </w:r>
      <w:bookmarkEnd w:id="14"/>
    </w:p>
    <w:p w:rsidR="001646BE" w:rsidRDefault="001646BE" w:rsidP="00054D85"/>
    <w:p w:rsidR="001646BE" w:rsidRDefault="001646BE" w:rsidP="00B71727">
      <w:pPr>
        <w:ind w:firstLine="708"/>
      </w:pPr>
      <w:r>
        <w:t xml:space="preserve">Svrha regulative kojom se određuje okvir za stvaranje Jedinstvenog europskog neba, jest povećati sigurnosne standarde i efikasnost zračnog prometa Europe, optimizirati ATM sustav, te smanjiti kašnjenja letova uspostavom usklađenog </w:t>
      </w:r>
      <w:r w:rsidR="004346EF">
        <w:t>regulativno</w:t>
      </w:r>
      <w:r>
        <w:t xml:space="preserve">g okvira [3]. Regulativa kojom se propisuje okvir za stvaranje Jedinstvenog europskog neba nadopunjena je 2009. godine regulativom o poboljšanju izvedbe i održivosti Europskog zrakoplovnog sustava [4]. Regulativa uspostavlja institucionalna, </w:t>
      </w:r>
      <w:r w:rsidR="004346EF">
        <w:t>regulativna</w:t>
      </w:r>
      <w:r>
        <w:t xml:space="preserve"> i savjetodavna tijela koja će omogućiti uspostavu Jedinstvenog europskog neba.</w:t>
      </w:r>
    </w:p>
    <w:p w:rsidR="001646BE" w:rsidRDefault="001646BE" w:rsidP="00B71727">
      <w:r>
        <w:tab/>
        <w:t>Zemlje članice trebale bi u tom kontekstu, samostalno ili zajednički, uspostaviti Nacionalno nadzorno tijelo (NSA</w:t>
      </w:r>
      <w:r>
        <w:rPr>
          <w:rStyle w:val="FootnoteReference"/>
        </w:rPr>
        <w:footnoteReference w:id="7"/>
      </w:r>
      <w:r>
        <w:t>). Nacionalno nadzorno tijelo treba djelovati samostalno i odvojeno od pružatelja usluga u zračnoj plovidbi, te obavljati svoje dužnosti nezavisno i transparentno u skladu sa zakonima nadležnih tijela. Zemlje članice trebaju osigurati sredstva za rad NSA-a, kako bi se efikasno i pravovremeno ostvario cilj zadan regulativom. Potrebno je dostaviti Europskoj Komisiji podatke i sve eventualne promjene u radu i formiranju NSA-a.</w:t>
      </w:r>
    </w:p>
    <w:p w:rsidR="001646BE" w:rsidRDefault="001646BE" w:rsidP="001846C1">
      <w:pPr>
        <w:ind w:firstLine="709"/>
      </w:pPr>
      <w:r>
        <w:t>Odbor Jedinstvenog europskog neba (Single Sky Commitee), koji se sastoji od dva predstavnika svake zemlje članice, treba djelovati kao pomoć Europskoj Komisiji u rješavanju i analizi problematike zadovoljenja interesa svih kategorija korisnika zračnog prometa. Navedeni odbor djeluju sukladno odluci Europskog Vijeća</w:t>
      </w:r>
      <w:r w:rsidRPr="000F66A3">
        <w:t xml:space="preserve"> </w:t>
      </w:r>
      <w:r>
        <w:t>[3].</w:t>
      </w:r>
    </w:p>
    <w:p w:rsidR="001646BE" w:rsidRDefault="001646BE" w:rsidP="001846C1">
      <w:pPr>
        <w:ind w:firstLine="709"/>
      </w:pPr>
      <w:r>
        <w:t xml:space="preserve">Smatra se potrebnim da se uspostavi savjetodavno tijelo zrakoplovne industrije koje će sadržavati predstavnike korisnika zračnog prostora, predstavnike pružatelja usluga u zračnoj plovidbi, predstavnike aerodromskih operatera, predstavnike proizvođača zrakoplovne industrije i profesionalnog osoblja. Funkcija tijela je savjetodavna uloga u programu implementacije Jedinstvenog europskog neba. </w:t>
      </w:r>
    </w:p>
    <w:p w:rsidR="001646BE" w:rsidRDefault="001646BE" w:rsidP="00E77C4C">
      <w:pPr>
        <w:spacing w:after="0"/>
        <w:ind w:firstLine="709"/>
      </w:pPr>
      <w:r>
        <w:t xml:space="preserve">Potrebno je pokušati proširiti SES program na zemlje koje nisu članice EU. U tom kontekstu preporuča se zemljama članicama da nastoje postići dogovor sa susjednim zemaljama koje nisu članice EU, u okviru sporazuma ili u kontekstu dogovora o uspostavi funkcionalnih blokova zračnog prometa, te na taj način proširiti primjenu ovih regulativa i na te zemlje. </w:t>
      </w:r>
    </w:p>
    <w:p w:rsidR="001646BE" w:rsidRDefault="001646BE" w:rsidP="001846C1">
      <w:pPr>
        <w:ind w:firstLine="709"/>
      </w:pPr>
      <w:r>
        <w:lastRenderedPageBreak/>
        <w:t xml:space="preserve">Za razvoj provedbenih propisa Europska Komisija može dodijeliti mandat Eurocontrolu ili bilo kojem drugom odgovarajućem tijelu, određujući pritom zadaće koje je potrebno izvršiti uz vremenski rok izvršenja istih. </w:t>
      </w:r>
    </w:p>
    <w:p w:rsidR="001646BE" w:rsidRDefault="001646BE" w:rsidP="001846C1">
      <w:pPr>
        <w:ind w:firstLine="709"/>
      </w:pPr>
      <w:r>
        <w:t>Kazne koje slijede zemlji članici ukoliko dođe do kršenja odredbi ove regulative ili njenih mjera, trebaju biti efektivne i proporcionalne prekršaju. Zemlje članice trebaju, u skladu s nacionalnom legislativom, oformiti savjetodavne mehanizme za odgovarajuće uključivanje svih sudionika u implementaciju SES programa. Konzultacija sudionika trebala bi obuhvatiti razvoj i predstavljanje novih koncepata i tehnologija u EATMN-u</w:t>
      </w:r>
      <w:r>
        <w:rPr>
          <w:rStyle w:val="FootnoteReference"/>
        </w:rPr>
        <w:footnoteReference w:id="8"/>
      </w:r>
      <w:r>
        <w:t>. Sudionici EATMN-a su predstavnici pružatelja usluga u zračnoj plovidbi, aerodromskih operatora, korisnika zračnog prostora, vojnih vlasti, zrakoplovne industrije i profesionalno osoblje ostalih bitnih tijela</w:t>
      </w:r>
      <w:r w:rsidRPr="000F66A3">
        <w:t xml:space="preserve"> </w:t>
      </w:r>
      <w:r>
        <w:t>[3].</w:t>
      </w:r>
    </w:p>
    <w:p w:rsidR="001646BE" w:rsidRDefault="001646BE" w:rsidP="00E77C4C">
      <w:pPr>
        <w:spacing w:after="0"/>
        <w:ind w:firstLine="360"/>
      </w:pPr>
      <w:r>
        <w:t>Kako bi se unaprijedila učinkovitost pružanja usluga u zračnoj plovidbi i funkcioniranje mreže, potrebno je uspostaviti sustav praćenja performansi. To se postiže na sljedeći način:</w:t>
      </w:r>
    </w:p>
    <w:p w:rsidR="001646BE" w:rsidRDefault="001646BE" w:rsidP="00E77C4C">
      <w:pPr>
        <w:pStyle w:val="ListParagraph"/>
        <w:numPr>
          <w:ilvl w:val="0"/>
          <w:numId w:val="3"/>
        </w:numPr>
        <w:spacing w:after="0"/>
      </w:pPr>
      <w:r>
        <w:t>fokusiranjem na ključna područja: sigurnost, okoliš, kapacitet, ekonomsku isplativost,</w:t>
      </w:r>
    </w:p>
    <w:p w:rsidR="001646BE" w:rsidRDefault="001646BE" w:rsidP="00BB6526">
      <w:pPr>
        <w:pStyle w:val="ListParagraph"/>
        <w:numPr>
          <w:ilvl w:val="0"/>
          <w:numId w:val="3"/>
        </w:numPr>
        <w:spacing w:after="0"/>
      </w:pPr>
      <w:r>
        <w:t>nacionalnim planovima ili FAB</w:t>
      </w:r>
      <w:r>
        <w:rPr>
          <w:rStyle w:val="FootnoteReference"/>
        </w:rPr>
        <w:footnoteReference w:id="9"/>
      </w:r>
      <w:r>
        <w:t xml:space="preserve"> planovima, uz osiguranje usklađenosti sa ciljevima šire zajednice,</w:t>
      </w:r>
    </w:p>
    <w:p w:rsidR="001646BE" w:rsidRDefault="001646BE" w:rsidP="00BB6526">
      <w:pPr>
        <w:pStyle w:val="ListParagraph"/>
        <w:numPr>
          <w:ilvl w:val="0"/>
          <w:numId w:val="3"/>
        </w:numPr>
      </w:pPr>
      <w:r>
        <w:t>periodičkom provjerom, praćenjem i mjerenjem performansi.</w:t>
      </w:r>
    </w:p>
    <w:p w:rsidR="001646BE" w:rsidRDefault="001646BE" w:rsidP="00E77C4C">
      <w:pPr>
        <w:ind w:firstLine="360"/>
      </w:pPr>
      <w:r>
        <w:t xml:space="preserve">U skladu s odredbama regulative, određuje se nadzorno tijelo koje će pratiti performanse sustava. To tijelo može biti Eurocontrol ili bilo koje drugo tijelo koje zadovoljava potrebne uvjete. </w:t>
      </w:r>
    </w:p>
    <w:p w:rsidR="001646BE" w:rsidRDefault="001646BE" w:rsidP="00E77C4C">
      <w:pPr>
        <w:spacing w:after="0"/>
        <w:ind w:firstLine="360"/>
      </w:pPr>
      <w:r>
        <w:t xml:space="preserve">Ciljana učinkovitosti, na razini šire zajednice, kod upravljanja mrežom zračnog prometa treba, nakon konzultacije sa NSA-ima na nacionalnim razinama ili na razini FAB-a, biti prihvaćena od Europske Komisije u skladu s </w:t>
      </w:r>
      <w:r w:rsidR="004346EF">
        <w:t>regulativno</w:t>
      </w:r>
      <w:r>
        <w:t xml:space="preserve">m procedurom. Nacionalna nadzorna tijela bi trebala u dogovoru sa svim relevantnim stranama (korisnici zračnog prostora, predstavnici pružatelja usluga u zračnoj plovidbi i sl.) donijeti nacrt nacionalnog ili FAB plana, koji bi zatim zemlje članice trebale usvojiti. Usklađenost nacionalnih ili FAB planova sa ciljevima šire zajednice utvrđuje Europska Komisija, te ukoliko se utvrdi nepodudarnost, Komisija može zatražiti revidiranje navedenih planova. </w:t>
      </w:r>
    </w:p>
    <w:p w:rsidR="001646BE" w:rsidRDefault="001646BE" w:rsidP="000A6A8E">
      <w:pPr>
        <w:ind w:firstLine="360"/>
      </w:pPr>
      <w:r>
        <w:lastRenderedPageBreak/>
        <w:t xml:space="preserve">Potrebno je uspostaviti sustav skupljanja, validacije, analize i širenja relevantnih podataka vezanih uz pružanje usluga u zračnoj plovidbi i funkcioniranje mreže. Podaci se trebaju prikupljati od svih subjekata uključenih u sustav. </w:t>
      </w:r>
    </w:p>
    <w:p w:rsidR="001646BE" w:rsidRDefault="001646BE" w:rsidP="00D7756D">
      <w:pPr>
        <w:ind w:firstLine="360"/>
      </w:pPr>
      <w:r>
        <w:t>Zemlje članice bi trebale podnositi godišnja izvješća o implementaciji sukladno regulativi i njenim mjerama. Izvješća trebaju sadržavati evaluaciju postignutih rezultata sukladno regulativi, te podatke o razvoju s aspekta ekonomije, zapošljavanja, tehnologije, okoliša i socioloških pitanja. Također, bitno je analizirati i kvalitetu usluge, podudarnost sa početnim ciljevima, te zahtjeve budućnosti [3].</w:t>
      </w:r>
    </w:p>
    <w:p w:rsidR="001646BE" w:rsidRDefault="001646BE" w:rsidP="00E77C4C">
      <w:pPr>
        <w:spacing w:after="0"/>
        <w:ind w:firstLine="360"/>
      </w:pPr>
      <w:r>
        <w:t xml:space="preserve">Regulativa ne spriječava upotrebu mjera koje su potrebne za garanciju sigurnosti ili su u interesu obrambene politike zemalja članica. Takve mjere podrazumijevaju: </w:t>
      </w:r>
    </w:p>
    <w:p w:rsidR="001646BE" w:rsidRDefault="001646BE" w:rsidP="00BB6526">
      <w:pPr>
        <w:pStyle w:val="ListParagraph"/>
        <w:numPr>
          <w:ilvl w:val="0"/>
          <w:numId w:val="4"/>
        </w:numPr>
        <w:spacing w:after="0"/>
      </w:pPr>
      <w:r>
        <w:t>nadgledanje zračnog prostora u vlastitoj nadležnosti uz mogućnost detekcije i identifikacije svih korisnika tog zračnog prostora u interesu garancije sigurnosti letova,</w:t>
      </w:r>
    </w:p>
    <w:p w:rsidR="001646BE" w:rsidRDefault="001646BE" w:rsidP="00BB6526">
      <w:pPr>
        <w:pStyle w:val="ListParagraph"/>
        <w:numPr>
          <w:ilvl w:val="0"/>
          <w:numId w:val="4"/>
        </w:numPr>
        <w:spacing w:after="0"/>
      </w:pPr>
      <w:r>
        <w:t>poduzimanje mjera u slučaju ozbiljnog narušavanja zakona i reda,</w:t>
      </w:r>
    </w:p>
    <w:p w:rsidR="001646BE" w:rsidRDefault="001646BE" w:rsidP="00BB6526">
      <w:pPr>
        <w:pStyle w:val="ListParagraph"/>
        <w:numPr>
          <w:ilvl w:val="0"/>
          <w:numId w:val="4"/>
        </w:numPr>
        <w:spacing w:after="0"/>
      </w:pPr>
      <w:r>
        <w:t>poduzimanje mjera u slučaju rata ili međunarodne prijetnje ratom,</w:t>
      </w:r>
    </w:p>
    <w:p w:rsidR="001646BE" w:rsidRDefault="001646BE" w:rsidP="00BB6526">
      <w:pPr>
        <w:pStyle w:val="ListParagraph"/>
        <w:numPr>
          <w:ilvl w:val="0"/>
          <w:numId w:val="4"/>
        </w:numPr>
        <w:spacing w:after="0"/>
      </w:pPr>
      <w:r>
        <w:t>poduzimanje mjera u slučaju ispunjavanja dužnosti zemlje članice u misiji održavanja mira i međunarodne sigurnosti,</w:t>
      </w:r>
    </w:p>
    <w:p w:rsidR="001646BE" w:rsidRDefault="001646BE" w:rsidP="00BB6526">
      <w:pPr>
        <w:pStyle w:val="ListParagraph"/>
        <w:numPr>
          <w:ilvl w:val="0"/>
          <w:numId w:val="4"/>
        </w:numPr>
        <w:spacing w:after="0"/>
      </w:pPr>
      <w:r>
        <w:t>poduzimanje mjera u slučaju održavanja vojnih operacija i trenaže [3].</w:t>
      </w:r>
    </w:p>
    <w:p w:rsidR="001646BE" w:rsidRDefault="001646BE" w:rsidP="00BB6526">
      <w:pPr>
        <w:spacing w:after="0"/>
      </w:pPr>
    </w:p>
    <w:p w:rsidR="001646BE" w:rsidRDefault="001646BE" w:rsidP="00904C18"/>
    <w:p w:rsidR="001646BE" w:rsidRDefault="001646BE" w:rsidP="00904C18"/>
    <w:p w:rsidR="001646BE" w:rsidRDefault="001646BE" w:rsidP="00904C18"/>
    <w:p w:rsidR="001646BE" w:rsidRDefault="001646BE" w:rsidP="00904C18"/>
    <w:p w:rsidR="001646BE" w:rsidRDefault="001646BE" w:rsidP="00904C18"/>
    <w:p w:rsidR="001646BE" w:rsidRDefault="001646BE" w:rsidP="00904C18"/>
    <w:p w:rsidR="001646BE" w:rsidRDefault="001646BE" w:rsidP="00904C18"/>
    <w:p w:rsidR="001646BE" w:rsidRDefault="001646BE" w:rsidP="00904C18"/>
    <w:p w:rsidR="001646BE" w:rsidRDefault="001646BE" w:rsidP="004515ED">
      <w:pPr>
        <w:pStyle w:val="Heading3"/>
        <w:ind w:left="705" w:hanging="705"/>
      </w:pPr>
      <w:bookmarkStart w:id="15" w:name="_Toc296339010"/>
      <w:r>
        <w:lastRenderedPageBreak/>
        <w:t>2.1.2</w:t>
      </w:r>
      <w:r>
        <w:tab/>
        <w:t>PRUŽANJE USLUGA U ZRAČNOJ PLOVIDBI U  JEDINSTVENOM  EUROPSKOM NEBU</w:t>
      </w:r>
      <w:bookmarkEnd w:id="15"/>
    </w:p>
    <w:p w:rsidR="001646BE" w:rsidRDefault="001646BE" w:rsidP="00F65472"/>
    <w:p w:rsidR="001646BE" w:rsidRDefault="001646BE" w:rsidP="00BB6526">
      <w:pPr>
        <w:ind w:firstLine="708"/>
      </w:pPr>
      <w:r>
        <w:t>Svrha regulative o pružanju usluga u zračnoj plovidbi u Jedinstvenom europskom nebu, jest uspostava zajedničkih zahtjeva, kojim bi se osiguralo sigurno i efikasno pružanje usluga u zračnoj plovidbi na kontinuiranoj i interoperabilnoj osnovi. Regulativa uvodi usklađen sustav certificiranja i pravila, koja je potrebno ispuniti za uspostavu pružatelja usluga u zračnoj plovidbi [5]. Regulativa je nadopunjena 2009. godine regulativom o poboljšanju izvedbe i održivosti Europskog zrakoplovnog sustava [4]. Odredbe regulative o pružanju usluga u zračnoj plovidbi u Jedinstvenom europskom nebu, odnose se na pružanje usluga u zračnoj plovidbi, općem zračnom prometu - GAT-u</w:t>
      </w:r>
      <w:r>
        <w:rPr>
          <w:rStyle w:val="FootnoteReference"/>
        </w:rPr>
        <w:footnoteReference w:id="10"/>
      </w:r>
      <w:r>
        <w:t>.</w:t>
      </w:r>
    </w:p>
    <w:p w:rsidR="001646BE" w:rsidRDefault="001646BE" w:rsidP="00C55787">
      <w:pPr>
        <w:ind w:firstLine="360"/>
      </w:pPr>
      <w:r>
        <w:t xml:space="preserve">Nacionalni nadzorni odbori trebaju osigurati nadzor i provođenje odredbi ove regulative, posebice u pogledu sigurnosti i efikasnosti pružanja usluga u zračnoj plovidbi, u zračnom prostoru zemlje članice za koju je zadužen. Nacionalno nadzorno tijelo treba organizirati inspekcije i preglede kojima se utvrđuje podudaranje sa zahtjevima regulative, dok pružatelji usluga trebaju surađivati i olakšati provođenje takvih inspekcija. Provođenje inspekcija NSA prepušta kvalificiranim subjektima koje sama delegira. Također, NSA-i različitih zemalja članica trebaju međusobno surađivati, posebice u slučajevima kad jedan pružatelj usluga u zračnoj plovidbi djeluje na prostoru nekoliko zemalja članica potpisnica regulative. </w:t>
      </w:r>
    </w:p>
    <w:p w:rsidR="001646BE" w:rsidRDefault="001646BE" w:rsidP="00DD2BFD">
      <w:pPr>
        <w:spacing w:after="0"/>
        <w:ind w:firstLine="360"/>
      </w:pPr>
      <w:r>
        <w:t>Zahtjevi koje prema odredbama regulative trebaju zadovoljiti svi pružatelji usluga u zračnoj plovidbi, na teritoriju zemalja članica sudionika SES programa, su sljedeći:</w:t>
      </w:r>
    </w:p>
    <w:p w:rsidR="001646BE" w:rsidRDefault="001646BE" w:rsidP="00BB6526">
      <w:pPr>
        <w:pStyle w:val="ListParagraph"/>
        <w:numPr>
          <w:ilvl w:val="0"/>
          <w:numId w:val="5"/>
        </w:numPr>
        <w:spacing w:after="0"/>
      </w:pPr>
      <w:r>
        <w:t>tehnička i operativna kompetentnost i prikladnost,</w:t>
      </w:r>
    </w:p>
    <w:p w:rsidR="001646BE" w:rsidRDefault="001646BE" w:rsidP="00BB6526">
      <w:pPr>
        <w:pStyle w:val="ListParagraph"/>
        <w:numPr>
          <w:ilvl w:val="0"/>
          <w:numId w:val="5"/>
        </w:numPr>
        <w:spacing w:after="0"/>
      </w:pPr>
      <w:r>
        <w:t>procedure i sustavi upravljanja kvalitetom i sigurnošću,</w:t>
      </w:r>
    </w:p>
    <w:p w:rsidR="001646BE" w:rsidRDefault="001646BE" w:rsidP="00BB6526">
      <w:pPr>
        <w:pStyle w:val="ListParagraph"/>
        <w:numPr>
          <w:ilvl w:val="0"/>
          <w:numId w:val="5"/>
        </w:numPr>
        <w:spacing w:after="0"/>
      </w:pPr>
      <w:r>
        <w:t>sustav izvješćivanja,</w:t>
      </w:r>
    </w:p>
    <w:p w:rsidR="001646BE" w:rsidRDefault="001646BE" w:rsidP="00BB6526">
      <w:pPr>
        <w:pStyle w:val="ListParagraph"/>
        <w:numPr>
          <w:ilvl w:val="0"/>
          <w:numId w:val="5"/>
        </w:numPr>
        <w:spacing w:after="0"/>
      </w:pPr>
      <w:r>
        <w:t>kvaliteta usluge i sigurnost,</w:t>
      </w:r>
    </w:p>
    <w:p w:rsidR="001646BE" w:rsidRDefault="001646BE" w:rsidP="00BB6526">
      <w:pPr>
        <w:pStyle w:val="ListParagraph"/>
        <w:numPr>
          <w:ilvl w:val="0"/>
          <w:numId w:val="5"/>
        </w:numPr>
        <w:spacing w:after="0"/>
      </w:pPr>
      <w:r>
        <w:t>financijska sigurnost,</w:t>
      </w:r>
    </w:p>
    <w:p w:rsidR="001646BE" w:rsidRDefault="001646BE" w:rsidP="00BB6526">
      <w:pPr>
        <w:pStyle w:val="ListParagraph"/>
        <w:numPr>
          <w:ilvl w:val="0"/>
          <w:numId w:val="5"/>
        </w:numPr>
        <w:spacing w:after="0"/>
      </w:pPr>
      <w:r>
        <w:t>obveza odgovornosti i osiguranje,</w:t>
      </w:r>
    </w:p>
    <w:p w:rsidR="001646BE" w:rsidRDefault="001646BE" w:rsidP="00BB6526">
      <w:pPr>
        <w:pStyle w:val="ListParagraph"/>
        <w:numPr>
          <w:ilvl w:val="0"/>
          <w:numId w:val="5"/>
        </w:numPr>
        <w:spacing w:after="0"/>
      </w:pPr>
      <w:r>
        <w:t>vlasništvo i organizacijska struktura uz sprječavanje sukoba interesa,</w:t>
      </w:r>
    </w:p>
    <w:p w:rsidR="001646BE" w:rsidRDefault="001646BE" w:rsidP="00BB6526">
      <w:pPr>
        <w:pStyle w:val="ListParagraph"/>
        <w:numPr>
          <w:ilvl w:val="0"/>
          <w:numId w:val="5"/>
        </w:numPr>
        <w:spacing w:after="0"/>
      </w:pPr>
      <w:r>
        <w:t>ljudski resursi uz adekvatan plan zapošljavanja.</w:t>
      </w:r>
    </w:p>
    <w:p w:rsidR="001646BE" w:rsidRDefault="001646BE" w:rsidP="00BB6526">
      <w:pPr>
        <w:spacing w:after="0"/>
      </w:pPr>
    </w:p>
    <w:p w:rsidR="001646BE" w:rsidRDefault="001646BE" w:rsidP="00512B43">
      <w:pPr>
        <w:ind w:firstLine="360"/>
      </w:pPr>
      <w:r>
        <w:lastRenderedPageBreak/>
        <w:t xml:space="preserve">Zemlje članice ovlaštene su certificirati pružatelje usluga u zračnoj plovidbi. Prijave za certificiranje podnose se u NSA-u zemlje članice. Certifikat specificira prava i obaveze pružatelja usluga, te se obvezuje na nediskriminacijski pristup pružanja usluga svim korisnicima zračnog prometa. Zemlje članice mogu dopustiti rad pružateljima usluga u svom zračnom prostoru bez izdavanja certifikata, ukoliko se to odnosi na zračni promet koji nije GAT kategorije. Certificirani pružatelji usluga mogu svoje usluge ponuditi i drugim zemljama članicama i drugim pružateljima usluga u zračnoj plovidbi. Nacionalno nadzorno tijelo nadgleda ispunjavanje zahtjeva i svih potrebnih uvjeta za dobivanje certifikata, te u slučaju da certificirani pružatelj usluga više ne zadovoljava potrebne zahtjeve i uvjete, NSA je dužna provesti potrebne mjere, od kojih je krajnja oduzimanje certifikata. </w:t>
      </w:r>
    </w:p>
    <w:p w:rsidR="001646BE" w:rsidRDefault="001646BE" w:rsidP="009A119A">
      <w:pPr>
        <w:ind w:firstLine="360"/>
      </w:pPr>
      <w:r>
        <w:t xml:space="preserve">Nadležnost zemalja članica jest uspostava pružatelja usluga u zračnoj plovidbi, koji zadovoljava sve potrebne uvjete i posjeduje certifikat za zračni prostor pod vlastitom odgovornošću. Nacionalni propisi pojedinih država ne bi trebali umanjiti mogućnost pružanja usluga pojedinog pružatelja usluge jedne države da pruža svoje usluge i u zračnom prostoru druge države. Zemlje članice definiraju prava i obveze postavljenih pružatelja usluga, te imaju slobodu odlučivanja kod odabira pružatelja usluga, ukoliko on ispunjava sve potrebne uvjete. U slučajevima FAB-a, zemlje članice pojedinog FAB-a mogu zajednički imenovati jednog ili više pružatelja usluga na području FAB-a, te o tome obavijestiti nadležna tijela. </w:t>
      </w:r>
    </w:p>
    <w:p w:rsidR="001646BE" w:rsidRDefault="001646BE" w:rsidP="00612221">
      <w:pPr>
        <w:spacing w:after="0"/>
        <w:ind w:firstLine="360"/>
      </w:pPr>
      <w:r w:rsidRPr="004A1494">
        <w:t xml:space="preserve">Zemlje članice </w:t>
      </w:r>
      <w:r>
        <w:t>trebale bi do kraja 2012. poduzeti sve potrebne mjere za implementaciju FAB-ova, u kontekstu postizanja potrebnog kapaciteta i efikasnosti upravljanja zračnim prometom u sklopu SES programa uz ispunjavanje sljedećih uvjeta:</w:t>
      </w:r>
    </w:p>
    <w:p w:rsidR="001646BE" w:rsidRDefault="001646BE" w:rsidP="00BB6526">
      <w:pPr>
        <w:pStyle w:val="ListParagraph"/>
        <w:numPr>
          <w:ilvl w:val="0"/>
          <w:numId w:val="6"/>
        </w:numPr>
        <w:spacing w:after="0"/>
      </w:pPr>
      <w:r>
        <w:t>uvjet sigurnosti,</w:t>
      </w:r>
    </w:p>
    <w:p w:rsidR="001646BE" w:rsidRDefault="001646BE" w:rsidP="00BB6526">
      <w:pPr>
        <w:pStyle w:val="ListParagraph"/>
        <w:numPr>
          <w:ilvl w:val="0"/>
          <w:numId w:val="6"/>
        </w:numPr>
        <w:spacing w:after="0"/>
      </w:pPr>
      <w:r>
        <w:t>optimizacija zračnog prostora uz praćenje tokova zračnog prometa,</w:t>
      </w:r>
    </w:p>
    <w:p w:rsidR="001646BE" w:rsidRDefault="001646BE" w:rsidP="00BB6526">
      <w:pPr>
        <w:pStyle w:val="ListParagraph"/>
        <w:numPr>
          <w:ilvl w:val="0"/>
          <w:numId w:val="6"/>
        </w:numPr>
        <w:spacing w:after="0"/>
      </w:pPr>
      <w:r>
        <w:t>osigurati usklađenost europske rutne mreže,</w:t>
      </w:r>
    </w:p>
    <w:p w:rsidR="001646BE" w:rsidRDefault="001646BE" w:rsidP="00BB6526">
      <w:pPr>
        <w:pStyle w:val="ListParagraph"/>
        <w:numPr>
          <w:ilvl w:val="0"/>
          <w:numId w:val="6"/>
        </w:numPr>
        <w:spacing w:after="0"/>
      </w:pPr>
      <w:r>
        <w:t>opravdati uložena sredstva prema valjanim troškovnim analizama,</w:t>
      </w:r>
    </w:p>
    <w:p w:rsidR="001646BE" w:rsidRDefault="001646BE" w:rsidP="00BB6526">
      <w:pPr>
        <w:pStyle w:val="ListParagraph"/>
        <w:numPr>
          <w:ilvl w:val="0"/>
          <w:numId w:val="6"/>
        </w:numPr>
        <w:spacing w:after="0"/>
      </w:pPr>
      <w:r>
        <w:t>osigurati siguran i brz prijenos odgovornosti s jednog pružatelja kontrole zračnog prometa na drugog,</w:t>
      </w:r>
    </w:p>
    <w:p w:rsidR="001646BE" w:rsidRDefault="001646BE" w:rsidP="00BB6526">
      <w:pPr>
        <w:pStyle w:val="ListParagraph"/>
        <w:numPr>
          <w:ilvl w:val="0"/>
          <w:numId w:val="6"/>
        </w:numPr>
        <w:spacing w:after="0"/>
      </w:pPr>
      <w:r>
        <w:t>osigurati kompatibilnost različitih konfiguracija zračnog prostora,</w:t>
      </w:r>
    </w:p>
    <w:p w:rsidR="001646BE" w:rsidRDefault="001646BE" w:rsidP="00BB6526">
      <w:pPr>
        <w:pStyle w:val="ListParagraph"/>
        <w:numPr>
          <w:ilvl w:val="0"/>
          <w:numId w:val="6"/>
        </w:numPr>
        <w:spacing w:after="0"/>
      </w:pPr>
      <w:r>
        <w:t>uskladiti djelovanje sa regionalnim sporazumima donesenim unutar ICAO-a.</w:t>
      </w:r>
      <w:r>
        <w:rPr>
          <w:rStyle w:val="FootnoteReference"/>
        </w:rPr>
        <w:footnoteReference w:id="11"/>
      </w:r>
    </w:p>
    <w:p w:rsidR="00BB6526" w:rsidRDefault="00BB6526" w:rsidP="00BB6526">
      <w:pPr>
        <w:pStyle w:val="ListParagraph"/>
        <w:spacing w:after="0"/>
        <w:ind w:left="1068"/>
      </w:pPr>
    </w:p>
    <w:p w:rsidR="001646BE" w:rsidRDefault="001646BE" w:rsidP="00BB6526">
      <w:pPr>
        <w:ind w:firstLine="708"/>
      </w:pPr>
      <w:r>
        <w:lastRenderedPageBreak/>
        <w:t>U slučajevima kad FAB obuhvaća nekoliko država, ostavlja se mogućnost povlačenja pojedinih država članica iz FAB-a. Kako bi se ubrzao proces uspostave FAB-ova, Europska Komisija može delegirati neutralnog člana u svojstvu koordinatora sustava FAB-a. Funkcija neutralnog člana, koja se temelji na sporazumu zemalja članica pojednog FAB-a u vezi njegovog mandata, jest rješavanje potencijalnih teškoća i zapreka u procesu uspostave FAB-a, te ubrzavanje čitavog procesa implementacije. Delegirana osoba treba djelovati nepristrano, ne smije otkrivati povjerljive informacije, te treba podnositi izvješća Europskoj Komisiji, Parlamentu i Odboru Jedinstvenog europskog neba [</w:t>
      </w:r>
      <w:r w:rsidR="004D5F73">
        <w:fldChar w:fldCharType="begin"/>
      </w:r>
      <w:r>
        <w:instrText xml:space="preserve"> REF _Ref295934484 \r \h </w:instrText>
      </w:r>
      <w:r w:rsidR="004D5F73">
        <w:fldChar w:fldCharType="separate"/>
      </w:r>
      <w:r w:rsidR="00031686">
        <w:t>5</w:t>
      </w:r>
      <w:r w:rsidR="004D5F73">
        <w:fldChar w:fldCharType="end"/>
      </w:r>
      <w:r>
        <w:t>].</w:t>
      </w:r>
    </w:p>
    <w:p w:rsidR="001646BE" w:rsidRPr="009E7A9D" w:rsidRDefault="001646BE" w:rsidP="00612221">
      <w:pPr>
        <w:ind w:firstLine="360"/>
      </w:pPr>
      <w:r w:rsidRPr="009E7A9D">
        <w:t>Zemlje članice bi tre</w:t>
      </w:r>
      <w:r>
        <w:t>bale, u okviru zajedničke prometne politike, poduzeti potrebne korake, kako bi osigurale uspostavu sporazuma između civilnih i vojnih vlasti, koji će podrazumijevati upotrebu određenih blokova zračnog prometa.</w:t>
      </w:r>
    </w:p>
    <w:p w:rsidR="001646BE" w:rsidRDefault="001646BE" w:rsidP="006D0241">
      <w:pPr>
        <w:ind w:firstLine="360"/>
      </w:pPr>
      <w:r>
        <w:t xml:space="preserve">Prilikom uspostave suradnje između pružatelja usluga u zračnoj plovidbi, potrebno je formalizirati takvu suradnju sporazumima ili pisanim ugovorima, gdje se jasno opisuju prava i obveze subjekata, te mogućnost razmjene operativnih podataka za GAT kategoriju prometa. </w:t>
      </w:r>
    </w:p>
    <w:p w:rsidR="001646BE" w:rsidRPr="009E7A9D" w:rsidRDefault="001646BE" w:rsidP="006D0241">
      <w:pPr>
        <w:ind w:firstLine="360"/>
      </w:pPr>
      <w:r>
        <w:t xml:space="preserve">Svi sporazumi i ugovori trebaju biti proslijeđeni NSA-u i/ili drugim nadležnim tijelima.  Također, pružatelji usluga mogu koristiti podatke ostalih certificiranih pružatelja usluga u SES programu. Prilikom suradnje, gdje dolazi do pružanja usluga između pružatelja usluga u zračnoj plovidbi, potrebno je ishoditi odobrenje odnosne zemlje članice. </w:t>
      </w:r>
    </w:p>
    <w:p w:rsidR="001646BE" w:rsidRDefault="001646BE" w:rsidP="00EF0F93">
      <w:pPr>
        <w:ind w:firstLine="360"/>
      </w:pPr>
      <w:r>
        <w:t xml:space="preserve">Što se tiče GAT kategorije prometa, svi bitni operativni podaci trebali bi se razmijenjivati u realnom vremenu između svih pružatelja usluga u zračnom prometu, korisnika zračnog prostora i aerodromskih operatera. Pristup relevantnim operativnim podacima treba biti omogućen jedino određenim nadležnim tijelima, pružateljima usluga i korisnicima zračnog prostora uz uvjet da su podaci dostupni svima pod jednakim uvjetima, bez diskriminacije. </w:t>
      </w:r>
    </w:p>
    <w:p w:rsidR="001646BE" w:rsidRDefault="001646BE" w:rsidP="00ED4960">
      <w:pPr>
        <w:spacing w:after="0"/>
        <w:ind w:firstLine="360"/>
      </w:pPr>
      <w:r>
        <w:t xml:space="preserve">Naplaćivanje usluga treba se temeljiti na troškovima pružanja usluga u zračnoj plovidbi, te se alociraju ovisno o kategoriji korisnika zračnog prostora. Detaljni zahtjevi za implementaciju sustava naplaćivanja usluga usvojeni su regulativom o utvrđivanju zajedničke sheme naplaćivanja pristojbi za usluge kontrole zračne plovidbe donesenom 2006. godine. </w:t>
      </w:r>
    </w:p>
    <w:p w:rsidR="00BB6526" w:rsidRDefault="00BB6526" w:rsidP="00ED4960">
      <w:pPr>
        <w:spacing w:after="0"/>
        <w:ind w:firstLine="360"/>
      </w:pPr>
    </w:p>
    <w:p w:rsidR="00BB6526" w:rsidRDefault="001646BE" w:rsidP="00BB6526">
      <w:pPr>
        <w:ind w:firstLine="360"/>
      </w:pPr>
      <w:r>
        <w:t xml:space="preserve">Trošak koji korisnici zračnog prostora plaćaju pružatelju usluga u zračnoj plovidbi potrebno je unaprijed odrediti. Također, u navedeni trošak potrebno je uračunati i određenu svotu za kapitalna ulaganja, održavanje, operativu, menadžment i administraciju. Trošak bi </w:t>
      </w:r>
      <w:r>
        <w:lastRenderedPageBreak/>
        <w:t xml:space="preserve">trebala odrediti svaka pojedina zemlja članica na nacionalnom nivou ili na nivou FAB-a, za određeno referentno razdoblje u kalendarskoj godini. </w:t>
      </w:r>
    </w:p>
    <w:p w:rsidR="001646BE" w:rsidRDefault="001646BE" w:rsidP="00ED4960">
      <w:pPr>
        <w:ind w:firstLine="360"/>
      </w:pPr>
      <w:r>
        <w:t xml:space="preserve">Navedeni troškovi trebaju obuhvaćati iznose usluga i sadržaja, predviđenih i implementiranih u ICAO regionalnim planovima za Europu. Isti se sastoje od troškova djelovanja NSA-a i ostalih troškova zemalja članica, uz izuzeće troškova nametnutih zemlji članici zbog nesukladnosti sa regulativom ili kazne. </w:t>
      </w:r>
    </w:p>
    <w:p w:rsidR="001646BE" w:rsidRDefault="001646BE" w:rsidP="00ED4960">
      <w:pPr>
        <w:ind w:firstLine="360"/>
      </w:pPr>
      <w:r>
        <w:t xml:space="preserve">U slučaju uspostave FAB-a, zemlje članice trebaju se zajednički dogovoriti i uskladiti politiku naplaćivanja usluga unutar FAB-a. </w:t>
      </w:r>
    </w:p>
    <w:p w:rsidR="001646BE" w:rsidRDefault="001646BE" w:rsidP="00BB6526">
      <w:pPr>
        <w:ind w:firstLine="360"/>
      </w:pPr>
      <w:r>
        <w:t xml:space="preserve">Nije dopušteno unakrsno subvencioniranje između terminalnih i rutnih servisa, osim u opravdanim slučajevima. Troškovi koji se odnose na terminalne i rutne servise potrebno je proporcionalno i transparentno alocirati. Transparentnost naplaćivanja usluga potrebno je ostvariti izdavanjem izvješća o prometnim predviđanjima, stvarnim troškovima i dobiti. Potrebno je redovito izmjenjivati informacije između svih relevantnih subjekata u zračnom prometu. </w:t>
      </w:r>
    </w:p>
    <w:p w:rsidR="001646BE" w:rsidRDefault="001646BE" w:rsidP="00ED4960">
      <w:pPr>
        <w:ind w:firstLine="360"/>
      </w:pPr>
      <w:r>
        <w:t xml:space="preserve">Zemlje članice trebaju prilikom uspostave naplate paziti na dostupnost usluga u zračnoj plovidbi pod uvjetima koji nikoga ne disikriminiraju, mogućnost izuzeća pojedinih korisnika zračnog prostora od naplate (državni zrakoplovi, lake letjelice i sl.) uz uvjet da trošak njihovog leta ne prelazi na ostale korisnike zračnog prostora, mogućnost ostvarenja dodatne dobiti radi potrebnih unaprjeđenja sustava i naplaćivanje koje odražava trošak usluga. Uz to, naplaćivanje treba podupirati sigurnu, efikasnu i održivu politiku pružanja usluga u zračnoj plovidbi, uz postizanje zadanih ciljeva glede performansi i utjecaja na okoliš. </w:t>
      </w:r>
    </w:p>
    <w:p w:rsidR="001646BE" w:rsidRDefault="001646BE" w:rsidP="00ED4960">
      <w:pPr>
        <w:spacing w:after="0"/>
        <w:ind w:firstLine="360"/>
      </w:pPr>
      <w:r>
        <w:t xml:space="preserve">Europska Komisija provjerava usklađenost i provođenje principa sustava naplaćivanja zemalja članica, te može, ukoliko je potrebno, provoditi istragu i donositi odluke </w:t>
      </w:r>
      <w:r w:rsidRPr="00A424BA">
        <w:t>[</w:t>
      </w:r>
      <w:r w:rsidR="004D5F73">
        <w:fldChar w:fldCharType="begin"/>
      </w:r>
      <w:r>
        <w:instrText xml:space="preserve"> REF _Ref295934484 \r \h </w:instrText>
      </w:r>
      <w:r w:rsidR="004D5F73">
        <w:fldChar w:fldCharType="separate"/>
      </w:r>
      <w:r w:rsidR="00031686">
        <w:t>5</w:t>
      </w:r>
      <w:r w:rsidR="004D5F73">
        <w:fldChar w:fldCharType="end"/>
      </w:r>
      <w:r w:rsidRPr="00A424BA">
        <w:t>]</w:t>
      </w:r>
      <w:r>
        <w:t>.</w:t>
      </w:r>
    </w:p>
    <w:p w:rsidR="001646BE" w:rsidRDefault="001646BE" w:rsidP="008E484A">
      <w:pPr>
        <w:autoSpaceDE w:val="0"/>
        <w:autoSpaceDN w:val="0"/>
        <w:adjustRightInd w:val="0"/>
        <w:spacing w:after="0" w:line="240" w:lineRule="auto"/>
        <w:jc w:val="left"/>
        <w:rPr>
          <w:b/>
          <w:bCs/>
        </w:rPr>
      </w:pPr>
      <w:r>
        <w:rPr>
          <w:rFonts w:ascii="TimesNewRoman" w:hAnsi="TimesNewRoman" w:cs="TimesNewRoman"/>
          <w:color w:val="231F20"/>
          <w:sz w:val="19"/>
          <w:szCs w:val="19"/>
        </w:rPr>
        <w:t xml:space="preserve"> </w:t>
      </w:r>
    </w:p>
    <w:p w:rsidR="001646BE" w:rsidRDefault="001646BE">
      <w:pPr>
        <w:rPr>
          <w:b/>
          <w:bCs/>
        </w:rPr>
      </w:pPr>
    </w:p>
    <w:p w:rsidR="001646BE" w:rsidRDefault="001646BE">
      <w:pPr>
        <w:rPr>
          <w:b/>
          <w:bCs/>
        </w:rPr>
      </w:pPr>
    </w:p>
    <w:p w:rsidR="00BB6526" w:rsidRDefault="00BB6526">
      <w:pPr>
        <w:rPr>
          <w:b/>
          <w:bCs/>
        </w:rPr>
      </w:pPr>
    </w:p>
    <w:p w:rsidR="001646BE" w:rsidRDefault="001646BE">
      <w:pPr>
        <w:rPr>
          <w:b/>
          <w:bCs/>
        </w:rPr>
      </w:pPr>
    </w:p>
    <w:p w:rsidR="001646BE" w:rsidRDefault="001646BE" w:rsidP="00ED4960">
      <w:pPr>
        <w:pStyle w:val="Heading3"/>
        <w:spacing w:after="120"/>
        <w:ind w:left="705" w:hanging="705"/>
      </w:pPr>
      <w:bookmarkStart w:id="16" w:name="_Toc296339011"/>
      <w:r>
        <w:lastRenderedPageBreak/>
        <w:t>2.1.3</w:t>
      </w:r>
      <w:r>
        <w:tab/>
        <w:t>ORGANIZACIJA I UPOTREBA ZRAČNOG PROSTORA U JEDINSTVENOM EUROPSKOM NEBU</w:t>
      </w:r>
      <w:bookmarkEnd w:id="16"/>
    </w:p>
    <w:p w:rsidR="001646BE" w:rsidRPr="00814B18" w:rsidRDefault="001646BE" w:rsidP="00814B18"/>
    <w:p w:rsidR="001646BE" w:rsidRDefault="001646BE" w:rsidP="00BB6526">
      <w:pPr>
        <w:spacing w:after="0"/>
        <w:ind w:firstLine="360"/>
      </w:pPr>
      <w:r>
        <w:t>Svrha regulative o organizaciji i upotrebi zračnog prostora u Jedinstvenom europskom nebu jest smanjenje fragmentiranosti zračnog prostora Europe i stvaranje efikasnog i sigurnog zračnog prostora, bez obzira na nacionalne granice. Organizacija i upotreba zračnog prostora predviđa uklapanje nacionalnih FIR</w:t>
      </w:r>
      <w:r>
        <w:rPr>
          <w:rStyle w:val="FootnoteReference"/>
        </w:rPr>
        <w:footnoteReference w:id="12"/>
      </w:r>
      <w:r>
        <w:t>-ova u jedan zračni prostor, unutar kojeg će se usluge u zračnoj plovidbi provoditi prema jednakim pravilima i procedurama [</w:t>
      </w:r>
      <w:r w:rsidR="004D5F73">
        <w:fldChar w:fldCharType="begin"/>
      </w:r>
      <w:r>
        <w:instrText xml:space="preserve"> REF _Ref295934954 \r \h </w:instrText>
      </w:r>
      <w:r w:rsidR="004D5F73">
        <w:fldChar w:fldCharType="separate"/>
      </w:r>
      <w:r w:rsidR="00031686">
        <w:t>6</w:t>
      </w:r>
      <w:r w:rsidR="004D5F73">
        <w:fldChar w:fldCharType="end"/>
      </w:r>
      <w:r>
        <w:t>]. Regulativa je nadopunjena 2009. godine regulativom o poboljšanju izvedbe i održivosti Europskog zrakoplovnog sustava [4]. Odredbe ove regulative odnose se na organizaciju i upotrebu zračnog prostora u Jedinstvenom europskom nebu.</w:t>
      </w:r>
    </w:p>
    <w:p w:rsidR="001646BE" w:rsidRDefault="001646BE" w:rsidP="00401C07">
      <w:pPr>
        <w:spacing w:before="240"/>
        <w:ind w:firstLine="360"/>
      </w:pPr>
      <w:r>
        <w:t>Potrebno je raditi na uspostavi EUIR</w:t>
      </w:r>
      <w:r>
        <w:rPr>
          <w:rStyle w:val="FootnoteReference"/>
        </w:rPr>
        <w:footnoteReference w:id="13"/>
      </w:r>
      <w:r>
        <w:t>-a koji bi obuhvaćao gornji zračni prostor zemalja članica i prostor ostalih zemalja na području Europe. Uspostava EUIR-a ne dovodi u pitanje odgovornost zemalja članica za imenovanje pružatelja usluga u zračnoj plovidbi na području svog teritorija i zemlje članice zadržavaju odgovornost prema ICAO-u unutar geografskih limita za FIR-ove koji su im dodijeljeni. Kako bi se uskladilo aeronautičko obavještavanje unutar EUIR-a, potrebno je stvoriti uvjete za publiciranje aeronautičkih informacija iz jedinstvenog izvora, sukladno svim zahtjevima ICAO-a.</w:t>
      </w:r>
    </w:p>
    <w:p w:rsidR="001646BE" w:rsidRDefault="001646BE" w:rsidP="004A5205">
      <w:pPr>
        <w:ind w:firstLine="360"/>
      </w:pPr>
      <w:r w:rsidRPr="004A5205">
        <w:t xml:space="preserve">Mrežne funkcije </w:t>
      </w:r>
      <w:r>
        <w:t xml:space="preserve">ATM-a (dizajn Europske rutne mreže, koordinacija radiofrekvencija i kodova transpondera, dodjeljivanje slotova...) trebaju omogućiti optimalnu upotrebu zračnog prostora, te osigurati korisnicima operiranje na željenim trajektorijama leta, uz maksimalan pristup zračnom prostoru i uslugama u zračnoj plovidbi. Navedene mrežne funkcije treba pokušati provesti na nacionalnim razinama i na razinama FAB-ova, pazeći pritom na odvajanje operative od regulatora. </w:t>
      </w:r>
    </w:p>
    <w:p w:rsidR="001646BE" w:rsidRDefault="001646BE" w:rsidP="00BF6A94">
      <w:pPr>
        <w:spacing w:after="0"/>
        <w:ind w:firstLine="360"/>
      </w:pPr>
      <w:r>
        <w:t>Kako bi se navedeno izvršilo, Europska Komisija treba osigurati provođenje sljedećih koraka:</w:t>
      </w:r>
    </w:p>
    <w:p w:rsidR="001646BE" w:rsidRDefault="001646BE" w:rsidP="00BB6526">
      <w:pPr>
        <w:pStyle w:val="ListParagraph"/>
        <w:numPr>
          <w:ilvl w:val="0"/>
          <w:numId w:val="8"/>
        </w:numPr>
      </w:pPr>
      <w:r>
        <w:t>dizajn Europske rutne mreže,</w:t>
      </w:r>
    </w:p>
    <w:p w:rsidR="001646BE" w:rsidRDefault="001646BE" w:rsidP="00BB6526">
      <w:pPr>
        <w:pStyle w:val="ListParagraph"/>
        <w:numPr>
          <w:ilvl w:val="0"/>
          <w:numId w:val="8"/>
        </w:numPr>
      </w:pPr>
      <w:r>
        <w:lastRenderedPageBreak/>
        <w:t>koordinacija resursa unutar aeronautičkog frekvencijskog pojasa koji se koristi u općem zračnom prometu, posebice radio frekvencija i kodova transpondera, te je potrebno provesti koordinaciju i sa vojnim vlastima uz primjenu FUA</w:t>
      </w:r>
      <w:r>
        <w:rPr>
          <w:rStyle w:val="FootnoteReference"/>
        </w:rPr>
        <w:footnoteReference w:id="14"/>
      </w:r>
      <w:r>
        <w:t xml:space="preserve"> koncepta,</w:t>
      </w:r>
    </w:p>
    <w:p w:rsidR="001646BE" w:rsidRDefault="001646BE" w:rsidP="00BB6526">
      <w:pPr>
        <w:pStyle w:val="ListParagraph"/>
        <w:numPr>
          <w:ilvl w:val="0"/>
          <w:numId w:val="8"/>
        </w:numPr>
      </w:pPr>
      <w:r>
        <w:t>izrada detaljnih pravila za implementaciju mjera prilikom koordinacije i unaprjeđivanja aeronautičkog upravljanja frekvencijama, centralnu funkciju koja koordinira potrebe za frekvencijama u frekvencijskom pojasu dodijeljenom europskom općem zračnom prometu, te izrada pravila za dodatne mrežne funkcije definirane u ATM master planu,</w:t>
      </w:r>
    </w:p>
    <w:p w:rsidR="001646BE" w:rsidRDefault="001646BE" w:rsidP="00BB6526">
      <w:pPr>
        <w:pStyle w:val="ListParagraph"/>
        <w:numPr>
          <w:ilvl w:val="0"/>
          <w:numId w:val="8"/>
        </w:numPr>
      </w:pPr>
      <w:r>
        <w:t>dizajniranje zračnog prostora treba izvršiti na nacionalnim razinama ili na razini FAB-ova. Proces dizajniranja treba pratiti prometne zahtjeve i kompleksnost, te je potrebno konzultirati sve relevantne korisnike zračnog prostora,</w:t>
      </w:r>
    </w:p>
    <w:p w:rsidR="001646BE" w:rsidRDefault="001646BE" w:rsidP="00BB6526">
      <w:pPr>
        <w:pStyle w:val="ListParagraph"/>
        <w:numPr>
          <w:ilvl w:val="0"/>
          <w:numId w:val="8"/>
        </w:numPr>
      </w:pPr>
      <w:r>
        <w:t>implementacijska pravila za upravljanje protokom zračnog prometa trebala bi podupirati operativne odluke pružatelja usluga u zračnoj plovidbi, korisnika i aerodromskih operatera, te bi trebala pokrivati planiranje letenja, korištenje raspoloživih kapaciteta zračnog prometa i postupke rutiranja zrakoplova, pogotovo tijekom perioda zagušenja. Potrebno je ostvariti nadzor nad protokom zračnog prometa u svrhu pravovremenog osiguranja kapaciteta i željene razine efikasnosti,</w:t>
      </w:r>
    </w:p>
    <w:p w:rsidR="001646BE" w:rsidRDefault="001646BE" w:rsidP="00BB6526">
      <w:pPr>
        <w:pStyle w:val="ListParagraph"/>
        <w:numPr>
          <w:ilvl w:val="0"/>
          <w:numId w:val="8"/>
        </w:numPr>
      </w:pPr>
      <w:r>
        <w:t>prilikom izrade implementacijskih pravila, potrebno je paziti na konzistentnost između planova leta i aerodromskih slotova, te osigurati potrebnu koordinaciju.</w:t>
      </w:r>
    </w:p>
    <w:p w:rsidR="001646BE" w:rsidRDefault="001646BE" w:rsidP="00BB6526"/>
    <w:p w:rsidR="001646BE" w:rsidRDefault="001646BE" w:rsidP="000534E3">
      <w:pPr>
        <w:ind w:firstLine="360"/>
      </w:pPr>
      <w:r>
        <w:t>S obzirom na korištenje zračnog prostora u vojne svrhe, zemlje članice trebale bi osigurati ujednačenu upotrebu FUA koncepta unutar Jedinstvenog europskog neba, kako bi se olakšalo upravljanje zračnim prometom i zračnim prostorom u kontekstu zajedničke prometne politike. Zemlje članice trebaju podnositi godišnje izvješće o aplikaciji FUA koncepta u zračnom prostoru pod njihovom nadležnošću. U posebnim slučajevima zemlja članica može privremeno suspendirati primjenu FUA koncepta uz pravovremeno izvješćivanje nadležnih tijela [6].</w:t>
      </w:r>
    </w:p>
    <w:p w:rsidR="001646BE" w:rsidRDefault="001646BE" w:rsidP="00B71595"/>
    <w:p w:rsidR="001646BE" w:rsidRDefault="001646BE" w:rsidP="00B71595">
      <w:pPr>
        <w:pStyle w:val="Heading3"/>
        <w:ind w:left="705" w:hanging="705"/>
      </w:pPr>
      <w:bookmarkStart w:id="17" w:name="_Toc296339012"/>
      <w:r>
        <w:lastRenderedPageBreak/>
        <w:t>2.1.4</w:t>
      </w:r>
      <w:r>
        <w:tab/>
        <w:t>INTEROPERABILNOST EUROPSKE MREŽE ZA UPRAVLJANJE ZRAČNIM PROMETOM</w:t>
      </w:r>
      <w:bookmarkEnd w:id="17"/>
    </w:p>
    <w:p w:rsidR="001646BE" w:rsidRDefault="001646BE" w:rsidP="00B85950"/>
    <w:p w:rsidR="001646BE" w:rsidRDefault="001646BE" w:rsidP="00774803">
      <w:pPr>
        <w:ind w:firstLine="360"/>
      </w:pPr>
      <w:r>
        <w:t>Svrha regulative o interoperabilnosti Europske mreže za upravljanje zračnim prometom je ostvarenje interoperabilnosti između različitih sistema i pripadajućih procedura u europskoj ATM mreži, uspostavom usklađenog sustava za certificiranje komponenti i sistema. Uz navedeno, cilj je također uvođenje dogovorenih i provjerenih operativnih predložaka i tehnologija u upravljanju zračnim prometom [</w:t>
      </w:r>
      <w:r w:rsidR="004D5F73">
        <w:fldChar w:fldCharType="begin"/>
      </w:r>
      <w:r>
        <w:instrText xml:space="preserve"> REF _Ref295935184 \r \h </w:instrText>
      </w:r>
      <w:r w:rsidR="004D5F73">
        <w:fldChar w:fldCharType="separate"/>
      </w:r>
      <w:r w:rsidR="00031686">
        <w:t>7</w:t>
      </w:r>
      <w:r w:rsidR="004D5F73">
        <w:fldChar w:fldCharType="end"/>
      </w:r>
      <w:r>
        <w:t xml:space="preserve">]. Regulativa je nadopunjena 2009. godine regulativom o poboljšanju izvedbe i održivosti Europskog zrakoplovnog sustava [4]. </w:t>
      </w:r>
    </w:p>
    <w:p w:rsidR="001646BE" w:rsidRPr="00A82318" w:rsidRDefault="001646BE" w:rsidP="00774803">
      <w:pPr>
        <w:ind w:firstLine="360"/>
      </w:pPr>
      <w:r>
        <w:t xml:space="preserve">Europska ATM mreža, njeni sustavi i komponente trebaju zadovoljiti određene zahtjeve. Postoje opći zahtjevi koji se odnose na kontinuitet operativnosti, podršku novim konceptima, sigurnost, vojno/civilnu suradnju, očuvanje okoliša, načela uređivanja logične arhitekture sustava i načela uređivanja konstrukcije sustava. Osim općih, potrebno je zadovoljiti i specifične zahtjeve koji se odnose na sustave i procedure upravljanja zračnim prostorom i protokom zračnog prometa, sustave i procedure za usluge u zračnoj plovidbi, komunikacijske sustave i procedure, navigacijske procedure, sustave i procedure nadzora te sustave i procedure za usluge aeronautičkog informiranja i upotrebu meteoroloških izvješća. </w:t>
      </w:r>
    </w:p>
    <w:p w:rsidR="001646BE" w:rsidRDefault="001646BE" w:rsidP="00774803">
      <w:pPr>
        <w:spacing w:after="0"/>
        <w:ind w:firstLine="360"/>
      </w:pPr>
      <w:r>
        <w:t xml:space="preserve">Implementacijska pravila za interoperabilnost trebala bi biti načinjena kako bi se ostvarili ciljevi regulative. Sistemi i pripadajuće procedure trebale bi se podudarati sa relevantnim implementacijskim pravilima. Navedena pravila trebala bi: </w:t>
      </w:r>
    </w:p>
    <w:p w:rsidR="001646BE" w:rsidRDefault="001646BE" w:rsidP="00BB6526">
      <w:pPr>
        <w:pStyle w:val="ListParagraph"/>
        <w:numPr>
          <w:ilvl w:val="0"/>
          <w:numId w:val="9"/>
        </w:numPr>
        <w:spacing w:after="0"/>
      </w:pPr>
      <w:r>
        <w:t>odrediti specifične zahtjeve koji nadopunjuju temeljne zahtjeve u pogledu sigurnosti, operativnosti i performansi,</w:t>
      </w:r>
    </w:p>
    <w:p w:rsidR="001646BE" w:rsidRDefault="001646BE" w:rsidP="00BB6526">
      <w:pPr>
        <w:pStyle w:val="ListParagraph"/>
        <w:numPr>
          <w:ilvl w:val="0"/>
          <w:numId w:val="9"/>
        </w:numPr>
        <w:spacing w:after="0"/>
      </w:pPr>
      <w:r>
        <w:t>opisivati specifične zahtjeve koji nadopunjuju temeljne zahtjeve u pogledu uvođenja dogovorenih i provjerenih operativnih predožaka i tehnologija,</w:t>
      </w:r>
    </w:p>
    <w:p w:rsidR="001646BE" w:rsidRDefault="001646BE" w:rsidP="00BB6526">
      <w:pPr>
        <w:pStyle w:val="ListParagraph"/>
        <w:numPr>
          <w:ilvl w:val="0"/>
          <w:numId w:val="9"/>
        </w:numPr>
        <w:spacing w:after="0"/>
      </w:pPr>
      <w:r>
        <w:t>odrediti komponente sustava (oprema i software),</w:t>
      </w:r>
    </w:p>
    <w:p w:rsidR="001646BE" w:rsidRDefault="001646BE" w:rsidP="00BB6526">
      <w:pPr>
        <w:pStyle w:val="ListParagraph"/>
        <w:numPr>
          <w:ilvl w:val="0"/>
          <w:numId w:val="9"/>
        </w:numPr>
        <w:spacing w:after="0"/>
      </w:pPr>
      <w:r>
        <w:t>opisati specifične procedure za procjenu usklađenosti između komponenti sustava i verifikaciju sustava,</w:t>
      </w:r>
    </w:p>
    <w:p w:rsidR="001646BE" w:rsidRDefault="001646BE" w:rsidP="00BB6526">
      <w:pPr>
        <w:pStyle w:val="ListParagraph"/>
        <w:numPr>
          <w:ilvl w:val="0"/>
          <w:numId w:val="9"/>
        </w:numPr>
        <w:spacing w:after="0"/>
      </w:pPr>
      <w:r>
        <w:t>odrediti uvjete implementacije i rokove.</w:t>
      </w:r>
    </w:p>
    <w:p w:rsidR="00BB6526" w:rsidRDefault="00BB6526" w:rsidP="00BB6526">
      <w:pPr>
        <w:pStyle w:val="ListParagraph"/>
        <w:spacing w:after="0"/>
      </w:pPr>
    </w:p>
    <w:p w:rsidR="001646BE" w:rsidRDefault="001646BE" w:rsidP="00BB6526">
      <w:pPr>
        <w:spacing w:after="0"/>
        <w:ind w:firstLine="360"/>
      </w:pPr>
      <w:r>
        <w:t>Poticaj ostvarenju ciljeva ove regulative može biti i uspostava zajedničkih specifikacija, koje se mogu manifestirati kao europski standard za sustave i njihove komponente, ili Eurocontrolove specifikacije u domeni operativne koordinacije između pružatelja usluga [8].</w:t>
      </w:r>
    </w:p>
    <w:p w:rsidR="001646BE" w:rsidRDefault="001646BE" w:rsidP="00774803">
      <w:pPr>
        <w:ind w:firstLine="360"/>
      </w:pPr>
      <w:r>
        <w:lastRenderedPageBreak/>
        <w:t xml:space="preserve">Komponente sustava trebaju biti određene deklaracijom o usklađenosti i pogodnosti za upotrebu, te proizvođači trebaju osigurati i izjaviti da su primijenili odredbe  navedene deklaracije. Usuglašenost sa temeljnim zahtjevima (opći i specifični zahtjevi) i implementacijskim pravilima podrazumijeva se ukoliko su komponente sustava popraćene gore navedenom deklaracijom o usklađenosti i pogodnosti za upotrebu. </w:t>
      </w:r>
    </w:p>
    <w:p w:rsidR="001646BE" w:rsidRDefault="001646BE" w:rsidP="00774803">
      <w:pPr>
        <w:ind w:firstLine="360"/>
      </w:pPr>
      <w:r>
        <w:t>Sustavi trebaju biti podvrgnuti verifikaciji u skladu sa implementacijskim pravilima za interoperabilnost, kako bi se osiguralo da zadovoljavaju temeljne zahtjeve ove regulative. Prije puštanja sustava u pogon, ovlašteni pružatelj usluga u zračnoj plovidbi treba potvrditi podudarnost i pogodnost sustava prema deklaraciji o usklađenosti i pogodnosti za upotrebu, te podnijeti izvještaj nadležnom tijelu [7].</w:t>
      </w:r>
    </w:p>
    <w:p w:rsidR="001646BE" w:rsidRDefault="001646BE" w:rsidP="00BB58B0">
      <w:pPr>
        <w:spacing w:after="0"/>
        <w:ind w:firstLine="360"/>
      </w:pPr>
      <w:r>
        <w:t>U slučaju da nacionalno nadležno tijelo utvrdi da verificirani sustav ili njegova komponenta, certificirana deklaracijom o usklađenosti i pogodnosti za upotrebu, nije u skladu sa temeljnim zahtjevima ili implementacijskim pravilima za interoperabilnost, ono treba poduzeti sve potrebne mjere kako bi ograničila primjenu takvog sustava ili njegove komponente. Zemlja članica treba u tom slučaju smjesta informirati Komisiju o poduzetim mjerama, te izvjestiti o razlozima uvođenja istih. Ukoliko Komisija smatra da poduzete mjere nisu opravdane, zemlja članica treba ih povući i obavijestiti proizvođače o prekidu suspenzije.</w:t>
      </w:r>
    </w:p>
    <w:p w:rsidR="001646BE" w:rsidRDefault="001646BE" w:rsidP="00BB58B0">
      <w:pPr>
        <w:spacing w:before="240" w:after="0"/>
        <w:ind w:firstLine="360"/>
      </w:pPr>
      <w:r>
        <w:t xml:space="preserve">Na slici 1 prikazane su zemlje uključene u SES program (zemlje članice EU, zemlje članice </w:t>
      </w:r>
      <w:r w:rsidRPr="0099335F">
        <w:t>ECAA</w:t>
      </w:r>
      <w:r>
        <w:rPr>
          <w:rStyle w:val="FootnoteReference"/>
        </w:rPr>
        <w:footnoteReference w:id="15"/>
      </w:r>
      <w:r>
        <w:t xml:space="preserve">, zemlje s kojima je potpisan ugovor o suradnji te zemlje s kojima se trenutno pregovara o suradnji). </w:t>
      </w:r>
    </w:p>
    <w:p w:rsidR="001646BE" w:rsidRDefault="00E02CBE" w:rsidP="003726F7">
      <w:pPr>
        <w:spacing w:after="0"/>
      </w:pPr>
      <w:r>
        <w:rPr>
          <w:noProof/>
          <w:lang w:eastAsia="hr-HR"/>
        </w:rPr>
        <w:drawing>
          <wp:inline distT="0" distB="0" distL="0" distR="0">
            <wp:extent cx="4505325" cy="2419350"/>
            <wp:effectExtent l="19050" t="0" r="9525" b="0"/>
            <wp:docPr id="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a:srcRect/>
                    <a:stretch>
                      <a:fillRect/>
                    </a:stretch>
                  </pic:blipFill>
                  <pic:spPr bwMode="auto">
                    <a:xfrm>
                      <a:off x="0" y="0"/>
                      <a:ext cx="4505325" cy="2419350"/>
                    </a:xfrm>
                    <a:prstGeom prst="rect">
                      <a:avLst/>
                    </a:prstGeom>
                    <a:noFill/>
                    <a:ln w="9525">
                      <a:noFill/>
                      <a:miter lim="800000"/>
                      <a:headEnd/>
                      <a:tailEnd/>
                    </a:ln>
                  </pic:spPr>
                </pic:pic>
              </a:graphicData>
            </a:graphic>
          </wp:inline>
        </w:drawing>
      </w:r>
    </w:p>
    <w:p w:rsidR="001646BE" w:rsidRPr="00BB58B0" w:rsidRDefault="001646BE" w:rsidP="003726F7">
      <w:pPr>
        <w:pStyle w:val="Caption"/>
        <w:spacing w:after="0"/>
        <w:rPr>
          <w:color w:val="auto"/>
          <w:sz w:val="20"/>
          <w:szCs w:val="20"/>
        </w:rPr>
      </w:pPr>
      <w:r w:rsidRPr="00BB58B0">
        <w:rPr>
          <w:color w:val="auto"/>
          <w:sz w:val="20"/>
          <w:szCs w:val="20"/>
        </w:rPr>
        <w:t xml:space="preserve">Slika </w:t>
      </w:r>
      <w:r w:rsidR="004D5F73" w:rsidRPr="00BB58B0">
        <w:rPr>
          <w:color w:val="auto"/>
          <w:sz w:val="20"/>
          <w:szCs w:val="20"/>
        </w:rPr>
        <w:fldChar w:fldCharType="begin"/>
      </w:r>
      <w:r w:rsidRPr="00BB58B0">
        <w:rPr>
          <w:color w:val="auto"/>
          <w:sz w:val="20"/>
          <w:szCs w:val="20"/>
        </w:rPr>
        <w:instrText xml:space="preserve"> SEQ Slika \* ARABIC </w:instrText>
      </w:r>
      <w:r w:rsidR="004D5F73" w:rsidRPr="00BB58B0">
        <w:rPr>
          <w:color w:val="auto"/>
          <w:sz w:val="20"/>
          <w:szCs w:val="20"/>
        </w:rPr>
        <w:fldChar w:fldCharType="separate"/>
      </w:r>
      <w:r w:rsidR="00031686">
        <w:rPr>
          <w:noProof/>
          <w:color w:val="auto"/>
          <w:sz w:val="20"/>
          <w:szCs w:val="20"/>
        </w:rPr>
        <w:t>1</w:t>
      </w:r>
      <w:r w:rsidR="004D5F73" w:rsidRPr="00BB58B0">
        <w:rPr>
          <w:color w:val="auto"/>
          <w:sz w:val="20"/>
          <w:szCs w:val="20"/>
        </w:rPr>
        <w:fldChar w:fldCharType="end"/>
      </w:r>
      <w:r w:rsidRPr="00BB58B0">
        <w:rPr>
          <w:color w:val="auto"/>
          <w:sz w:val="20"/>
          <w:szCs w:val="20"/>
        </w:rPr>
        <w:t>: SES program u paneuropskim dimenzijama.</w:t>
      </w:r>
    </w:p>
    <w:p w:rsidR="001646BE" w:rsidRPr="00BB58B0" w:rsidRDefault="001646BE" w:rsidP="00BB58B0">
      <w:pPr>
        <w:spacing w:after="0"/>
        <w:rPr>
          <w:sz w:val="20"/>
          <w:szCs w:val="20"/>
        </w:rPr>
      </w:pPr>
      <w:r w:rsidRPr="003726F7">
        <w:rPr>
          <w:sz w:val="20"/>
          <w:szCs w:val="20"/>
        </w:rPr>
        <w:t>Izvor:  www.akl.tu-darmstadt.de (SES - Towards a better, more susta</w:t>
      </w:r>
      <w:r>
        <w:rPr>
          <w:sz w:val="20"/>
          <w:szCs w:val="20"/>
        </w:rPr>
        <w:t xml:space="preserve">inable and safer aviation system, </w:t>
      </w:r>
      <w:r w:rsidRPr="003726F7">
        <w:rPr>
          <w:sz w:val="20"/>
          <w:szCs w:val="20"/>
        </w:rPr>
        <w:t>2009.)</w:t>
      </w:r>
    </w:p>
    <w:p w:rsidR="001646BE" w:rsidRDefault="001646BE" w:rsidP="00BF6A94">
      <w:pPr>
        <w:pStyle w:val="Heading2"/>
        <w:ind w:left="705" w:hanging="705"/>
      </w:pPr>
      <w:bookmarkStart w:id="18" w:name="_Toc296339013"/>
      <w:r>
        <w:lastRenderedPageBreak/>
        <w:t>2.2</w:t>
      </w:r>
      <w:r>
        <w:tab/>
        <w:t xml:space="preserve">DRUGI </w:t>
      </w:r>
      <w:r w:rsidR="004346EF">
        <w:t>REGULATIVNI</w:t>
      </w:r>
      <w:r>
        <w:t xml:space="preserve"> PAKET JEDINSTVENOG EUROPSKOG NEBA</w:t>
      </w:r>
      <w:bookmarkEnd w:id="18"/>
    </w:p>
    <w:p w:rsidR="001646BE" w:rsidRDefault="001646BE" w:rsidP="00124F99">
      <w:pPr>
        <w:ind w:left="360"/>
      </w:pPr>
    </w:p>
    <w:p w:rsidR="001646BE" w:rsidRDefault="001646BE" w:rsidP="00124F99">
      <w:pPr>
        <w:ind w:firstLine="360"/>
      </w:pPr>
      <w:r>
        <w:t xml:space="preserve">S obzirom da SES program nije donio očekivane rezultate u važnim područjima, poput integracije zračnog prostora u FAB-ove, te nije došlo do unaprjeđenja ekonomske isplativosti europske ATM mreže, shvatilo se da je potrebno doraditi SES program. </w:t>
      </w:r>
    </w:p>
    <w:p w:rsidR="001646BE" w:rsidRDefault="001646BE" w:rsidP="00365AF5">
      <w:pPr>
        <w:ind w:firstLine="360"/>
      </w:pPr>
      <w:r>
        <w:t>Potrebno je unaprijediti SES legislativu kako bi se prebrodile prepreke u domeni performansi i očuvanja okoliša, dok upravljanje zračnim prometom treba doprinositi održivom razvoju zračnog prometa. Zrakoplovi bi trebali letjeti optimalnim rutama i optimiziranim profilima leta, dok bi se integracijom rutnih i aerodromskih operacija u globalnu mrežu smanjila emisija ispušnih plinova i buka. Također, javlja se potreba za daljnjim povećanjem razine sigurnosti.</w:t>
      </w:r>
    </w:p>
    <w:p w:rsidR="001646BE" w:rsidRDefault="001646BE" w:rsidP="00365AF5">
      <w:pPr>
        <w:ind w:firstLine="360"/>
      </w:pPr>
      <w:r>
        <w:t>Uspostavom SES II programa planira se godišnje umanjiti emisija CO</w:t>
      </w:r>
      <w:r w:rsidRPr="00B47F39">
        <w:rPr>
          <w:sz w:val="16"/>
          <w:szCs w:val="16"/>
        </w:rPr>
        <w:t>2</w:t>
      </w:r>
      <w:r>
        <w:t xml:space="preserve"> za 16 tona, uštedjeti oko 2-3 milijarde eura troškova avioprijevoznika, te potpuno reformirati europski ATM. </w:t>
      </w:r>
    </w:p>
    <w:p w:rsidR="001646BE" w:rsidRDefault="001646BE" w:rsidP="00365AF5">
      <w:pPr>
        <w:spacing w:after="0"/>
        <w:ind w:firstLine="360"/>
      </w:pPr>
      <w:r>
        <w:t xml:space="preserve">Drugi </w:t>
      </w:r>
      <w:r w:rsidR="004346EF">
        <w:t>regulativni</w:t>
      </w:r>
      <w:r>
        <w:t xml:space="preserve"> paket Jedinstvenog europskog neba usvojen je kako bi se europski zračni prostor učinio sigurnijim, te kako bi se unaprijedila razina održivog razvoja zrakoplovstva. Navedena poboljšanja planiraju se ostvariti kroz četiri temeljne cjeline:</w:t>
      </w:r>
    </w:p>
    <w:p w:rsidR="001646BE" w:rsidRDefault="001646BE" w:rsidP="00BB6526">
      <w:pPr>
        <w:pStyle w:val="ListParagraph"/>
        <w:numPr>
          <w:ilvl w:val="0"/>
          <w:numId w:val="10"/>
        </w:numPr>
        <w:spacing w:after="0"/>
      </w:pPr>
      <w:r>
        <w:t>uspostavom okvira za unaprjeđenje performansi europskog ATM-a postavljanjem kvantificiranih ciljeva,</w:t>
      </w:r>
    </w:p>
    <w:p w:rsidR="001646BE" w:rsidRDefault="001646BE" w:rsidP="00BB6526">
      <w:pPr>
        <w:pStyle w:val="ListParagraph"/>
        <w:numPr>
          <w:ilvl w:val="0"/>
          <w:numId w:val="10"/>
        </w:numPr>
        <w:spacing w:after="0"/>
      </w:pPr>
      <w:r>
        <w:t>stvaranjem jedinstvenog sigurnosnog okvira kako bi se omogućio usklađen razvoj sigurnosnih regulativa i njihove efektivne implementacije,</w:t>
      </w:r>
    </w:p>
    <w:p w:rsidR="001646BE" w:rsidRDefault="001646BE" w:rsidP="00BB6526">
      <w:pPr>
        <w:pStyle w:val="ListParagraph"/>
        <w:numPr>
          <w:ilvl w:val="0"/>
          <w:numId w:val="10"/>
        </w:numPr>
        <w:spacing w:after="0"/>
      </w:pPr>
      <w:r>
        <w:t>implementacijom novih tehnologija i operativnih predložaka uz povećanje sigurnosti,</w:t>
      </w:r>
    </w:p>
    <w:p w:rsidR="001646BE" w:rsidRDefault="001646BE" w:rsidP="00BB6526">
      <w:pPr>
        <w:pStyle w:val="ListParagraph"/>
        <w:numPr>
          <w:ilvl w:val="0"/>
          <w:numId w:val="10"/>
        </w:numPr>
        <w:spacing w:after="0"/>
      </w:pPr>
      <w:r>
        <w:t>unaprijediti upravljanje aerodromskim kapacitetima.</w:t>
      </w:r>
    </w:p>
    <w:p w:rsidR="00BB6526" w:rsidRDefault="00BB6526" w:rsidP="00BB6526">
      <w:pPr>
        <w:pStyle w:val="ListParagraph"/>
        <w:spacing w:after="0"/>
      </w:pPr>
    </w:p>
    <w:p w:rsidR="001646BE" w:rsidRDefault="001646BE" w:rsidP="00BB6526">
      <w:pPr>
        <w:spacing w:after="0"/>
        <w:ind w:firstLine="360"/>
      </w:pPr>
      <w:r>
        <w:t xml:space="preserve">Prva cjelina odnosi se na dopune prvog </w:t>
      </w:r>
      <w:r w:rsidR="004346EF">
        <w:t>regulativno</w:t>
      </w:r>
      <w:r>
        <w:t>g paketa SES programa, druga cjelina odnosi se na sigurnosni okvir, treća cjelina odnosi se na implementaciju novih tehnologija kroz istraživački program SESAR</w:t>
      </w:r>
      <w:r>
        <w:rPr>
          <w:rStyle w:val="FootnoteReference"/>
        </w:rPr>
        <w:footnoteReference w:id="16"/>
      </w:r>
      <w:r>
        <w:t>, dok se četvrta cjelina odnosi na upravljanje aerodromskim kapacitetima [</w:t>
      </w:r>
      <w:r w:rsidR="004D5F73">
        <w:fldChar w:fldCharType="begin"/>
      </w:r>
      <w:r>
        <w:instrText xml:space="preserve"> REF _Ref295935626 \r \h </w:instrText>
      </w:r>
      <w:r w:rsidR="004D5F73">
        <w:fldChar w:fldCharType="separate"/>
      </w:r>
      <w:r w:rsidR="00031686">
        <w:t>8</w:t>
      </w:r>
      <w:r w:rsidR="004D5F73">
        <w:fldChar w:fldCharType="end"/>
      </w:r>
      <w:r>
        <w:t>] [</w:t>
      </w:r>
      <w:r w:rsidR="004D5F73">
        <w:fldChar w:fldCharType="begin"/>
      </w:r>
      <w:r>
        <w:instrText xml:space="preserve"> REF _Ref295935628 \r \h </w:instrText>
      </w:r>
      <w:r w:rsidR="004D5F73">
        <w:fldChar w:fldCharType="separate"/>
      </w:r>
      <w:r w:rsidR="00031686">
        <w:t>10</w:t>
      </w:r>
      <w:r w:rsidR="004D5F73">
        <w:fldChar w:fldCharType="end"/>
      </w:r>
      <w:r>
        <w:t>].</w:t>
      </w:r>
    </w:p>
    <w:p w:rsidR="001646BE" w:rsidRDefault="001646BE" w:rsidP="00365AF5">
      <w:pPr>
        <w:spacing w:after="0"/>
        <w:ind w:firstLine="360"/>
      </w:pPr>
      <w:r>
        <w:lastRenderedPageBreak/>
        <w:t xml:space="preserve">Na zahtjev zemalja članica, promijenjen je </w:t>
      </w:r>
      <w:r w:rsidR="004346EF">
        <w:t>regulativni</w:t>
      </w:r>
      <w:r>
        <w:t xml:space="preserve"> pristup, stoga SES II stavlja naglasak na same ciljeve, a manje na mjere kojima se pokušavaju ti isti ciljevi ostvariti. Program SES II oslanja se na sljedeće temeljne komponente:</w:t>
      </w:r>
    </w:p>
    <w:p w:rsidR="001646BE" w:rsidRDefault="001646BE" w:rsidP="00BB6526">
      <w:pPr>
        <w:pStyle w:val="ListParagraph"/>
        <w:numPr>
          <w:ilvl w:val="0"/>
          <w:numId w:val="11"/>
        </w:numPr>
        <w:spacing w:after="0"/>
      </w:pPr>
      <w:r>
        <w:t>regulacija performansi,</w:t>
      </w:r>
    </w:p>
    <w:p w:rsidR="001646BE" w:rsidRDefault="001646BE" w:rsidP="00BB6526">
      <w:pPr>
        <w:pStyle w:val="ListParagraph"/>
        <w:numPr>
          <w:ilvl w:val="1"/>
          <w:numId w:val="11"/>
        </w:numPr>
        <w:spacing w:after="0"/>
      </w:pPr>
      <w:r>
        <w:t>performanse usluga u zračnoj plovidbi,</w:t>
      </w:r>
    </w:p>
    <w:p w:rsidR="001646BE" w:rsidRDefault="001646BE" w:rsidP="00BB6526">
      <w:pPr>
        <w:pStyle w:val="ListParagraph"/>
        <w:numPr>
          <w:ilvl w:val="1"/>
          <w:numId w:val="11"/>
        </w:numPr>
        <w:spacing w:after="0"/>
      </w:pPr>
      <w:r>
        <w:t>integracija pružanja usluga,</w:t>
      </w:r>
    </w:p>
    <w:p w:rsidR="001646BE" w:rsidRDefault="001646BE" w:rsidP="00BB6526">
      <w:pPr>
        <w:pStyle w:val="ListParagraph"/>
        <w:numPr>
          <w:ilvl w:val="1"/>
          <w:numId w:val="11"/>
        </w:numPr>
        <w:spacing w:after="0"/>
      </w:pPr>
      <w:r>
        <w:t>upravljanje na razini europske mreže,</w:t>
      </w:r>
    </w:p>
    <w:p w:rsidR="001646BE" w:rsidRDefault="001646BE" w:rsidP="00BB6526">
      <w:pPr>
        <w:pStyle w:val="ListParagraph"/>
        <w:numPr>
          <w:ilvl w:val="0"/>
          <w:numId w:val="11"/>
        </w:numPr>
        <w:spacing w:after="0"/>
      </w:pPr>
      <w:r>
        <w:t>sigurnosni okvir Jedinstvenog europskog neba,</w:t>
      </w:r>
    </w:p>
    <w:p w:rsidR="001646BE" w:rsidRDefault="001646BE" w:rsidP="00BB6526">
      <w:pPr>
        <w:pStyle w:val="ListParagraph"/>
        <w:numPr>
          <w:ilvl w:val="0"/>
          <w:numId w:val="11"/>
        </w:numPr>
        <w:spacing w:after="0"/>
      </w:pPr>
      <w:r>
        <w:t>razvoj novih tehnologija,</w:t>
      </w:r>
    </w:p>
    <w:p w:rsidR="001646BE" w:rsidRDefault="001646BE" w:rsidP="00BB6526">
      <w:pPr>
        <w:pStyle w:val="ListParagraph"/>
        <w:numPr>
          <w:ilvl w:val="0"/>
          <w:numId w:val="11"/>
        </w:numPr>
        <w:spacing w:after="0"/>
      </w:pPr>
      <w:r>
        <w:t>upravljanje aerodromskim kapacitetima [</w:t>
      </w:r>
      <w:r w:rsidR="004D5F73">
        <w:fldChar w:fldCharType="begin"/>
      </w:r>
      <w:r>
        <w:instrText xml:space="preserve"> REF _Ref295935626 \r \h </w:instrText>
      </w:r>
      <w:r w:rsidR="004D5F73">
        <w:fldChar w:fldCharType="separate"/>
      </w:r>
      <w:r w:rsidR="00031686">
        <w:t>8</w:t>
      </w:r>
      <w:r w:rsidR="004D5F73">
        <w:fldChar w:fldCharType="end"/>
      </w:r>
      <w:r>
        <w:t>].</w:t>
      </w:r>
    </w:p>
    <w:p w:rsidR="001646BE" w:rsidRDefault="001646BE" w:rsidP="00BB6526">
      <w:pPr>
        <w:spacing w:after="0"/>
      </w:pPr>
    </w:p>
    <w:p w:rsidR="001646BE" w:rsidRDefault="001646BE" w:rsidP="000F11C9">
      <w:r>
        <w:t xml:space="preserve">Na slikama 2 i 3 prikazane su temeljne cjeline SES II </w:t>
      </w:r>
      <w:r w:rsidR="004346EF">
        <w:t>regulativno</w:t>
      </w:r>
      <w:r>
        <w:t>g paketa.</w:t>
      </w:r>
    </w:p>
    <w:p w:rsidR="001646BE" w:rsidRDefault="004D5F73" w:rsidP="005A6232">
      <w:pPr>
        <w:spacing w:after="0"/>
      </w:pPr>
      <w:r>
        <w:pict>
          <v:group id="_x0000_s1026" editas="canvas" style="width:210.45pt;height:161.3pt;mso-position-horizontal-relative:char;mso-position-vertical-relative:line" coordorigin=",-216" coordsize="4209,322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top:-216;width:4209;height:3226" o:preferrelative="f">
              <v:fill o:detectmouseclick="t"/>
              <v:path o:extrusionok="t" o:connecttype="none"/>
              <o:lock v:ext="edit" text="t"/>
            </v:shape>
            <v:shape id="_x0000_s1028" type="#_x0000_t75" style="position:absolute;top:-127;width:4209;height:3137">
              <v:imagedata r:id="rId9" o:title=""/>
            </v:shape>
            <w10:wrap type="none"/>
            <w10:anchorlock/>
          </v:group>
        </w:pict>
      </w:r>
      <w:r w:rsidR="001646BE">
        <w:t xml:space="preserve">                 </w:t>
      </w:r>
      <w:r>
        <w:pict>
          <v:group id="_x0000_s1029" editas="canvas" style="width:191.55pt;height:167.45pt;mso-position-horizontal-relative:char;mso-position-vertical-relative:line" coordorigin=",-213" coordsize="3831,3349">
            <o:lock v:ext="edit" aspectratio="t"/>
            <v:shape id="_x0000_s1030" type="#_x0000_t75" style="position:absolute;top:-213;width:3831;height:3349" o:preferrelative="f">
              <v:fill o:detectmouseclick="t"/>
              <v:path o:extrusionok="t" o:connecttype="none"/>
              <o:lock v:ext="edit" text="t"/>
            </v:shape>
            <v:shape id="_x0000_s1031" type="#_x0000_t75" style="position:absolute;width:3831;height:2797">
              <v:imagedata r:id="rId10" o:title=""/>
            </v:shape>
            <w10:wrap type="none"/>
            <w10:anchorlock/>
          </v:group>
        </w:pict>
      </w:r>
    </w:p>
    <w:p w:rsidR="001646BE" w:rsidRPr="00B71727" w:rsidRDefault="001646BE" w:rsidP="005A6232">
      <w:pPr>
        <w:spacing w:after="0"/>
        <w:jc w:val="left"/>
        <w:rPr>
          <w:b/>
          <w:bCs/>
          <w:sz w:val="20"/>
          <w:szCs w:val="20"/>
        </w:rPr>
      </w:pPr>
      <w:r w:rsidRPr="00B71727">
        <w:rPr>
          <w:b/>
          <w:bCs/>
          <w:sz w:val="20"/>
          <w:szCs w:val="20"/>
        </w:rPr>
        <w:t>Slika 2</w:t>
      </w:r>
      <w:r>
        <w:rPr>
          <w:b/>
          <w:bCs/>
          <w:sz w:val="20"/>
          <w:szCs w:val="20"/>
        </w:rPr>
        <w:t xml:space="preserve">: </w:t>
      </w:r>
      <w:r w:rsidRPr="00B71727">
        <w:rPr>
          <w:b/>
          <w:bCs/>
          <w:sz w:val="20"/>
          <w:szCs w:val="20"/>
        </w:rPr>
        <w:t xml:space="preserve">temeljne cjeline SES II paketa. </w:t>
      </w:r>
      <w:r w:rsidRPr="00B71727">
        <w:rPr>
          <w:b/>
          <w:bCs/>
          <w:sz w:val="20"/>
          <w:szCs w:val="20"/>
        </w:rPr>
        <w:tab/>
      </w:r>
      <w:r w:rsidRPr="00B71727">
        <w:rPr>
          <w:b/>
          <w:bCs/>
          <w:sz w:val="20"/>
          <w:szCs w:val="20"/>
        </w:rPr>
        <w:tab/>
      </w:r>
      <w:r w:rsidRPr="00B71727">
        <w:rPr>
          <w:b/>
          <w:bCs/>
          <w:sz w:val="20"/>
          <w:szCs w:val="20"/>
        </w:rPr>
        <w:tab/>
        <w:t>Slika 3</w:t>
      </w:r>
      <w:r>
        <w:rPr>
          <w:b/>
          <w:bCs/>
          <w:sz w:val="20"/>
          <w:szCs w:val="20"/>
        </w:rPr>
        <w:t xml:space="preserve">: </w:t>
      </w:r>
      <w:r w:rsidRPr="00B71727">
        <w:rPr>
          <w:b/>
          <w:bCs/>
          <w:sz w:val="20"/>
          <w:szCs w:val="20"/>
        </w:rPr>
        <w:t xml:space="preserve">temeljne cjeline SES II paketa                    </w:t>
      </w:r>
    </w:p>
    <w:p w:rsidR="001646BE" w:rsidRDefault="001646BE" w:rsidP="005A6232">
      <w:pPr>
        <w:spacing w:after="0"/>
      </w:pPr>
      <w:r>
        <w:rPr>
          <w:sz w:val="20"/>
          <w:szCs w:val="20"/>
        </w:rPr>
        <w:t>Izvor:</w:t>
      </w:r>
      <w:r w:rsidRPr="00365AF5">
        <w:rPr>
          <w:sz w:val="20"/>
          <w:szCs w:val="20"/>
        </w:rPr>
        <w:t xml:space="preserve"> </w:t>
      </w:r>
      <w:hyperlink r:id="rId11" w:history="1">
        <w:r w:rsidRPr="00365AF5">
          <w:rPr>
            <w:rStyle w:val="Hyperlink"/>
            <w:color w:val="auto"/>
            <w:sz w:val="20"/>
            <w:szCs w:val="20"/>
            <w:u w:val="none"/>
          </w:rPr>
          <w:t>www.ukfsc.co.uk</w:t>
        </w:r>
      </w:hyperlink>
      <w:r>
        <w:rPr>
          <w:sz w:val="20"/>
          <w:szCs w:val="20"/>
        </w:rPr>
        <w:t xml:space="preserve"> (Stakeholders forum SES)</w:t>
      </w:r>
      <w:r>
        <w:rPr>
          <w:sz w:val="20"/>
          <w:szCs w:val="20"/>
        </w:rPr>
        <w:tab/>
      </w:r>
      <w:r>
        <w:rPr>
          <w:sz w:val="20"/>
          <w:szCs w:val="20"/>
        </w:rPr>
        <w:tab/>
      </w:r>
      <w:r w:rsidRPr="00464DE5">
        <w:rPr>
          <w:sz w:val="20"/>
          <w:szCs w:val="20"/>
        </w:rPr>
        <w:t>www.skybrary.aero/bookshelf/books/663.pdf</w:t>
      </w:r>
    </w:p>
    <w:p w:rsidR="001646BE" w:rsidRDefault="001646BE" w:rsidP="005A6232">
      <w:pPr>
        <w:spacing w:after="0"/>
      </w:pPr>
    </w:p>
    <w:p w:rsidR="00BB6526" w:rsidRDefault="00BB6526" w:rsidP="005A6232">
      <w:pPr>
        <w:spacing w:after="0"/>
      </w:pPr>
    </w:p>
    <w:p w:rsidR="00BB6526" w:rsidRDefault="00BB6526" w:rsidP="005A6232">
      <w:pPr>
        <w:spacing w:after="0"/>
      </w:pPr>
    </w:p>
    <w:p w:rsidR="00BB6526" w:rsidRDefault="00BB6526" w:rsidP="005A6232">
      <w:pPr>
        <w:spacing w:after="0"/>
      </w:pPr>
    </w:p>
    <w:p w:rsidR="00BB6526" w:rsidRDefault="00BB6526" w:rsidP="005A6232">
      <w:pPr>
        <w:spacing w:after="0"/>
      </w:pPr>
    </w:p>
    <w:p w:rsidR="00BB6526" w:rsidRDefault="00BB6526" w:rsidP="005A6232">
      <w:pPr>
        <w:spacing w:after="0"/>
      </w:pPr>
    </w:p>
    <w:p w:rsidR="00BB6526" w:rsidRDefault="00BB6526" w:rsidP="005A6232">
      <w:pPr>
        <w:spacing w:after="0"/>
      </w:pPr>
    </w:p>
    <w:p w:rsidR="00BB6526" w:rsidRDefault="00BB6526" w:rsidP="005A6232">
      <w:pPr>
        <w:spacing w:after="0"/>
      </w:pPr>
    </w:p>
    <w:p w:rsidR="00BB6526" w:rsidRDefault="00BB6526" w:rsidP="005A6232">
      <w:pPr>
        <w:spacing w:after="0"/>
      </w:pPr>
    </w:p>
    <w:p w:rsidR="001646BE" w:rsidRPr="00124F99" w:rsidRDefault="001646BE" w:rsidP="00365AF5">
      <w:pPr>
        <w:pStyle w:val="Heading3"/>
      </w:pPr>
      <w:bookmarkStart w:id="19" w:name="_Toc296339014"/>
      <w:r>
        <w:lastRenderedPageBreak/>
        <w:t>2.2.1</w:t>
      </w:r>
      <w:r>
        <w:tab/>
        <w:t>REGULACIJA PERFORMANSI ATM-a U EUROPI</w:t>
      </w:r>
      <w:bookmarkEnd w:id="19"/>
    </w:p>
    <w:p w:rsidR="001646BE" w:rsidRDefault="001646BE" w:rsidP="00BE747A">
      <w:bookmarkStart w:id="20" w:name="Objective"/>
      <w:bookmarkStart w:id="21" w:name="Description"/>
      <w:bookmarkStart w:id="22" w:name="Implementation_of_a_Performance_Scheme"/>
      <w:bookmarkEnd w:id="20"/>
      <w:bookmarkEnd w:id="21"/>
      <w:bookmarkEnd w:id="22"/>
    </w:p>
    <w:p w:rsidR="001646BE" w:rsidRDefault="001646BE" w:rsidP="000D63E0">
      <w:pPr>
        <w:ind w:firstLine="360"/>
      </w:pPr>
      <w:r>
        <w:t xml:space="preserve">Prva cjelina drugog </w:t>
      </w:r>
      <w:r w:rsidR="004346EF">
        <w:t>regulativno</w:t>
      </w:r>
      <w:r>
        <w:t xml:space="preserve">g paketa SES programa odnosi se na dopune i poboljšanja postojećeg SES programa, tj. prvog </w:t>
      </w:r>
      <w:r w:rsidR="004346EF">
        <w:t>regulativno</w:t>
      </w:r>
      <w:r>
        <w:t>g paketa koji se sastoji od četiri temeljne regulative. Dopunama se trebaju jasno definirati ciljevi i planovi za unaprjeđenje performansi sa rokovima u kojima zemlje članice trebaju ispuniti iste uz ostvarenje bliže suradnje. Rokovi za performanse su sljedeći: 2010. - izrada planova za unaprjeđenje performansi za područje EU i šire, 2011. - izrada nacionalnih planova, 2012. - uspostava FAB-ova [11].</w:t>
      </w:r>
    </w:p>
    <w:p w:rsidR="001646BE" w:rsidRDefault="001646BE" w:rsidP="00955F01">
      <w:pPr>
        <w:rPr>
          <w:b/>
          <w:bCs/>
        </w:rPr>
      </w:pPr>
    </w:p>
    <w:p w:rsidR="001646BE" w:rsidRDefault="001646BE" w:rsidP="00F311B5">
      <w:pPr>
        <w:pStyle w:val="Heading4"/>
        <w:ind w:firstLine="360"/>
      </w:pPr>
      <w:r>
        <w:t>2.2.1.1</w:t>
      </w:r>
      <w:r>
        <w:tab/>
      </w:r>
      <w:r w:rsidRPr="00955F01">
        <w:t>PERFORMANSE USLUGA U ZRAČNO</w:t>
      </w:r>
      <w:r>
        <w:t>M PROMETU</w:t>
      </w:r>
    </w:p>
    <w:p w:rsidR="001646BE" w:rsidRPr="006E51FB" w:rsidRDefault="001646BE" w:rsidP="006E51FB"/>
    <w:p w:rsidR="001646BE" w:rsidRDefault="001646BE" w:rsidP="00E22CB5">
      <w:pPr>
        <w:ind w:firstLine="360"/>
      </w:pPr>
      <w:r>
        <w:t>Performanse usluga uvelike su određene regulativom o utvrđivanju programa mjerenja učinkovitosti za usluge u zračnoj plovidbi i mrežne funkcije, kojom se definira uređenje i uvođenje potrebnih mjera za poboljšanje performansi usluga u zračnoj plovidbi i funkcioniranje mreže [12]. Ova se regulativa primjenjuje na usluge u zračnoj plovidbi koje pružaju certificirani i, od strane nadležnog tijela, imenovani pružatelji usluga u zračnoj plovidbi prema odredbama regulative [</w:t>
      </w:r>
      <w:r w:rsidR="004D5F73">
        <w:fldChar w:fldCharType="begin"/>
      </w:r>
      <w:r>
        <w:instrText xml:space="preserve"> REF _Ref295934484 \r \h </w:instrText>
      </w:r>
      <w:r w:rsidR="004D5F73">
        <w:fldChar w:fldCharType="separate"/>
      </w:r>
      <w:r w:rsidR="00031686">
        <w:t>5</w:t>
      </w:r>
      <w:r w:rsidR="004D5F73">
        <w:fldChar w:fldCharType="end"/>
      </w:r>
      <w:r>
        <w:t xml:space="preserve">]. </w:t>
      </w:r>
    </w:p>
    <w:p w:rsidR="001646BE" w:rsidRDefault="001646BE" w:rsidP="00152672">
      <w:pPr>
        <w:ind w:firstLine="360"/>
      </w:pPr>
      <w:r>
        <w:t>Tijelo za praćenje performansi (PRB</w:t>
      </w:r>
      <w:r>
        <w:rPr>
          <w:rStyle w:val="FootnoteReference"/>
        </w:rPr>
        <w:footnoteReference w:id="17"/>
      </w:r>
      <w:r>
        <w:t>) uspostavlja se kao pomoćno tijelo pri razvoju postavki performansi u zračnoj plovidbi, te se osniva na određeni period. Tijelo za praćenje performansi treba biti kompetentno i nepristrano, kako bi moglo neovisno obavljati dodijeljene joj zadatke. Konkretno, zadaci PRB-a su prikupljanje, analiza i validacija podataka vezanih uz performanse, identifikacija ključnih područja za unaprijeđenje performansi, identifikacija ključnih indikatora performansi za usluge u zračnoj plovidbi i funkcioniranje mreže, dosljednost prihvaćanja planova za unaprjeđenje performansi, praćenje i revizija performansi i funkcioniranja mreže na nacionalnim razinama, FAB razini i razini EU te praćenje ispunjavanja planova za unaprjeđenje performansi. Tijelo za praćenje performansi podnosi izvješća Europskoj Komisiji i daje prijedloge za dodatna poboljšanja, te bi trebao usko surađivati sa NSA-ima, EASA</w:t>
      </w:r>
      <w:r>
        <w:rPr>
          <w:rStyle w:val="FootnoteReference"/>
        </w:rPr>
        <w:footnoteReference w:id="18"/>
      </w:r>
      <w:r>
        <w:t xml:space="preserve">-om te pružateljima usluga u zračnoj plovidbi, korisnicima zračnog prostora i aerodromskim operaterima. Nacionalno nadzorno tijelo je </w:t>
      </w:r>
      <w:r>
        <w:lastRenderedPageBreak/>
        <w:t>odgovorno za razradu planova perfomansi na nacionalnim i FAB razinama te za praćenje i procjenu provođenja ciljeva navedenih planova [12].</w:t>
      </w:r>
    </w:p>
    <w:p w:rsidR="001646BE" w:rsidRDefault="001646BE" w:rsidP="00152672">
      <w:pPr>
        <w:ind w:firstLine="360"/>
      </w:pPr>
      <w:r>
        <w:t xml:space="preserve">Zemlje članice trebale bi podupirati blisku suradnju između NSA-a u cilju izrade plana za unaprjeđenje performansi usluga na razni FAB-a. U tom slučaju, odgovornost za postizanje zadanih ciljeva pada na sve zemlje članice podjednako. </w:t>
      </w:r>
    </w:p>
    <w:p w:rsidR="001646BE" w:rsidRDefault="001646BE" w:rsidP="00152672">
      <w:pPr>
        <w:spacing w:after="0"/>
        <w:ind w:firstLine="360"/>
      </w:pPr>
      <w:r>
        <w:t xml:space="preserve">Prilikom donošenja navedenih planova bitna je suradnja sa EASA-om, kako bi se osiguralo poštivanje i uključivanje sigurnosnih zahtjeva u planove performansi. Potrebno je također i određivanje, revizija i implementacija sigurnosnih indikatora i ciljeva uz mehanizme alarmiranja u slučaju nepoštivanja sigurnosnih odredbi. </w:t>
      </w:r>
    </w:p>
    <w:p w:rsidR="001646BE" w:rsidRDefault="001646BE" w:rsidP="00152672">
      <w:pPr>
        <w:spacing w:before="240"/>
        <w:ind w:firstLine="360"/>
      </w:pPr>
      <w:r>
        <w:t>Prilikom postavljanja ciljeva, za svako ključno područje performansi potrebno je odrediti ključni indikator performansi. Performanse usluga u zračnoj plovidbi procjenjuju se preko ispunjavanja obveznih ciljeva (postavljenih od strane zemlje članice) za svaki ključni indikator performansi. Ključni indikatori performansi za EU područje su indikator sigurnosti, okoliša, kapaciteta i ekonomske isplativosti.</w:t>
      </w:r>
    </w:p>
    <w:p w:rsidR="001646BE" w:rsidRDefault="001646BE" w:rsidP="00BC2389">
      <w:pPr>
        <w:ind w:firstLine="360"/>
      </w:pPr>
      <w:r>
        <w:t>Europska Komisija treba usvojiti ciljeve planova za unaprjeđenje performansi za područje EU i šire. Nacionalna nadzorna tijela trebaju izraditi planove za unaprjeđenje performansi koji su usklađeni sa ciljevima donesenim od strane Komisije. Dozvoljen je samo jedan plan za pojedinu zemlju članicu ili FAB. Planovi trebaju sadržavati podatke o predviđanju prometa, troškove pružanja usluga u zračnoj plovidbi, potrebne investicije za postizanje zadanih ciljeva, raščlanjivanje ciljeva i praćenje izvršavanja istih, opis vojno-civilne suradnje, identifikacija subjekata zaduženih za provođenje planova i mehanizme za poticanje izvršavanja planova, te praćenje provođenja planova od strane NSA.</w:t>
      </w:r>
    </w:p>
    <w:p w:rsidR="001646BE" w:rsidRDefault="001646BE" w:rsidP="00B95840">
      <w:pPr>
        <w:ind w:firstLine="360"/>
      </w:pPr>
      <w:r>
        <w:t xml:space="preserve">Nakon što donese plan, zemlja članica ga šalje EU Komisiji na razmatranje, gdje se plan usvaja ili odbija. Ukoliko se plan odbije, zemlja članica dužna je donijeti potrebne izmjene kako bi plan u potpunosti bio usuglašen sa ciljevima Komisije. Komisija može odlučiti da je potrebno revidiranje svrhe planova za unaprjeđenje performansi za područje EU i šire, te se u tom slučaju trebaju revidirati i planovi performansi zemalja članica. </w:t>
      </w:r>
    </w:p>
    <w:p w:rsidR="001646BE" w:rsidRDefault="001646BE" w:rsidP="00BC2389">
      <w:pPr>
        <w:ind w:firstLine="360"/>
      </w:pPr>
      <w:r>
        <w:t xml:space="preserve">Nacionalno nadzorno tijelo treba pratiti provođenje planova i rezultate implementacije. Ukoliko se definira da ciljevi nisu postignuti, potrebno je poduzeti potrebne mjere kako bi se osiguralo pravovremeno i odgovarajuće izvršenje planova. U slučaju znatnog pada performansi pojedine zemlje članice, koje pogađa i ostale zemlje članice SES programa, </w:t>
      </w:r>
      <w:r>
        <w:lastRenderedPageBreak/>
        <w:t xml:space="preserve">Komisija može naložiti NSA-u odnosne zemlje članice provođenje odgovarajućih mjera kako bi se razina performansi podigla na potrebnu razinu. Pružatelji usluga u zračnoj plovidbi trebaju olakšati inspekcije i nadgledanja od strane NSA-e i EASA-e u svrhu provjere usklađivanja rada sa planovima za unaprjeđenje performansi. </w:t>
      </w:r>
    </w:p>
    <w:p w:rsidR="001646BE" w:rsidRDefault="001646BE" w:rsidP="00BC2389">
      <w:pPr>
        <w:ind w:firstLine="360"/>
      </w:pPr>
      <w:r>
        <w:t>Prikupljanje relevantnih podataka potrebno je osigurati suradnjom između svih sudionika u zračnoj plovidbi, dakle pružatelja usluga, korisnika, aerodromskih operatera itd. Navedeni sudionici koji prosljeđuju podatke EU Komisiji odgovorni su za njihovu vjerodostojnost i kvalitetu. Europska Komisija dio prikupljenih podataka i analiza objavljuje putem službenog glasila EU i najčešće u elektroničkom obliku [12].</w:t>
      </w:r>
    </w:p>
    <w:p w:rsidR="001646BE" w:rsidRDefault="001646BE" w:rsidP="00BC2389">
      <w:pPr>
        <w:ind w:firstLine="360"/>
      </w:pPr>
    </w:p>
    <w:p w:rsidR="001646BE" w:rsidRDefault="001646BE" w:rsidP="00BC2389">
      <w:pPr>
        <w:pStyle w:val="Heading4"/>
        <w:ind w:left="1418" w:hanging="1058"/>
      </w:pPr>
      <w:r>
        <w:t>2.2.1.2</w:t>
      </w:r>
      <w:r>
        <w:tab/>
        <w:t>INTEGRACIJA PRUŽANJA USLUGA U ZRAČNOM PROMETU U EUROPI</w:t>
      </w:r>
    </w:p>
    <w:p w:rsidR="001646BE" w:rsidRDefault="001646BE" w:rsidP="00474519"/>
    <w:p w:rsidR="001646BE" w:rsidRDefault="001646BE" w:rsidP="00BC2389">
      <w:pPr>
        <w:spacing w:after="0"/>
        <w:ind w:firstLine="360"/>
      </w:pPr>
      <w:r>
        <w:t>Jedan od najvažnijih ciljeva regulacije performansi odnosi se na ubrzavanje i usmjeravanje napora integracije pružanja usluga. Integracija pružanja usluga treba se ostvariti uspostavom FAB-ova. Potrebno je čitav niz inicijativa koje se trenutno koriste za ustroj FAB-ova preustrojiti u jedinstven i izvoran instrument regionalne integracije, kojim bi se ispunjavali ciljevi planova za unaprjeđenje performansi. Europska Komisija odlučila je poduprijeti „bottom-up“ pristup pri uspostavi FAB-ova, te će podržati trenutno postojeće inicijative za uspostavu FAB-ova na sljedeći način:</w:t>
      </w:r>
    </w:p>
    <w:p w:rsidR="001646BE" w:rsidRDefault="001646BE" w:rsidP="00BC2389">
      <w:pPr>
        <w:pStyle w:val="ListParagraph"/>
        <w:numPr>
          <w:ilvl w:val="0"/>
          <w:numId w:val="12"/>
        </w:numPr>
        <w:spacing w:after="0"/>
      </w:pPr>
      <w:r>
        <w:t>uspostavom strogih rokova za implementaciju,</w:t>
      </w:r>
    </w:p>
    <w:p w:rsidR="001646BE" w:rsidRDefault="001646BE" w:rsidP="00BC2389">
      <w:pPr>
        <w:pStyle w:val="ListParagraph"/>
        <w:numPr>
          <w:ilvl w:val="0"/>
          <w:numId w:val="12"/>
        </w:numPr>
        <w:spacing w:after="0"/>
      </w:pPr>
      <w:r>
        <w:t>proširivanjem nadležnosti i djelokruga FAB-ova na donji zračni prostor do aerodroma,</w:t>
      </w:r>
    </w:p>
    <w:p w:rsidR="001646BE" w:rsidRDefault="001646BE" w:rsidP="005A74CA">
      <w:pPr>
        <w:pStyle w:val="ListParagraph"/>
        <w:numPr>
          <w:ilvl w:val="0"/>
          <w:numId w:val="12"/>
        </w:numPr>
      </w:pPr>
      <w:r>
        <w:t xml:space="preserve">dokidanjem nacionalnih pravnih i institucionalnih zapreka ustroja FAB-ova. </w:t>
      </w:r>
    </w:p>
    <w:p w:rsidR="001646BE" w:rsidRDefault="001646BE" w:rsidP="0086579B">
      <w:pPr>
        <w:ind w:firstLine="360"/>
      </w:pPr>
      <w:r>
        <w:t xml:space="preserve">Osim navedenih mjera, uvidjela se potreba za jačanjem upravljanja FAB-ovima, te posredovanje preko funkcije koordinatora FAB-a. Bitno je i da planovi za unaprijeđenje performansi budu izrađeni na razini FAB-a, čime se dodatno izražava važnost uspostave FAB-ova, te jačanje usklađenosti FAB-ova i mrežne strukture. </w:t>
      </w:r>
    </w:p>
    <w:p w:rsidR="001646BE" w:rsidRDefault="001646BE" w:rsidP="0086579B">
      <w:pPr>
        <w:ind w:firstLine="360"/>
      </w:pPr>
    </w:p>
    <w:p w:rsidR="001646BE" w:rsidRPr="00DE7615" w:rsidRDefault="001646BE" w:rsidP="00BC2389">
      <w:pPr>
        <w:spacing w:before="240" w:after="0"/>
        <w:rPr>
          <w:sz w:val="18"/>
          <w:szCs w:val="18"/>
        </w:rPr>
      </w:pPr>
    </w:p>
    <w:p w:rsidR="001646BE" w:rsidRDefault="001646BE" w:rsidP="00BC2389">
      <w:pPr>
        <w:pStyle w:val="Heading4"/>
        <w:spacing w:after="240"/>
        <w:ind w:firstLine="360"/>
      </w:pPr>
      <w:r>
        <w:lastRenderedPageBreak/>
        <w:t>2.2.1.3</w:t>
      </w:r>
      <w:r>
        <w:tab/>
        <w:t>UPRAVLJANJE EUROPSKOM RUTNOM MREŽOM</w:t>
      </w:r>
    </w:p>
    <w:p w:rsidR="001646BE" w:rsidRPr="00C64CD4" w:rsidRDefault="001646BE" w:rsidP="007A09DB">
      <w:pPr>
        <w:spacing w:after="0"/>
        <w:rPr>
          <w:sz w:val="20"/>
          <w:szCs w:val="20"/>
        </w:rPr>
      </w:pPr>
    </w:p>
    <w:p w:rsidR="001646BE" w:rsidRDefault="001646BE" w:rsidP="00DC37FD">
      <w:pPr>
        <w:ind w:firstLine="360"/>
      </w:pPr>
      <w:r>
        <w:t>Upravljanje mrežom olakšava pružateljima i korisnicima usluga u zračnoj plovidbi pronalazak optimalnih rješenja uz ispunjavanje propisa vezanih za performanse. Upravljanje obuhvaća širok raspon zadataka koje je potrebno izvršiti:</w:t>
      </w:r>
    </w:p>
    <w:p w:rsidR="001646BE" w:rsidRDefault="001646BE" w:rsidP="007A09DB">
      <w:pPr>
        <w:pStyle w:val="ListParagraph"/>
        <w:numPr>
          <w:ilvl w:val="0"/>
          <w:numId w:val="13"/>
        </w:numPr>
        <w:spacing w:after="0"/>
        <w:ind w:left="284" w:hanging="284"/>
      </w:pPr>
      <w:r>
        <w:t xml:space="preserve">dizajn Europske rutne mreže - potrebno je osigurati da lokalna rješenja budu usklađena sa zahtjevima Europske mreže u sklopu multimodalne politike, uz mogućnost letenja po optimalnim trajektorijama leta, </w:t>
      </w:r>
    </w:p>
    <w:p w:rsidR="001646BE" w:rsidRDefault="001646BE" w:rsidP="007A09DB">
      <w:pPr>
        <w:pStyle w:val="ListParagraph"/>
        <w:spacing w:after="0"/>
      </w:pPr>
    </w:p>
    <w:p w:rsidR="001646BE" w:rsidRDefault="001646BE" w:rsidP="007A09DB">
      <w:pPr>
        <w:pStyle w:val="ListParagraph"/>
        <w:numPr>
          <w:ilvl w:val="0"/>
          <w:numId w:val="13"/>
        </w:numPr>
        <w:spacing w:after="0"/>
        <w:ind w:left="284" w:hanging="284"/>
      </w:pPr>
      <w:r>
        <w:t xml:space="preserve">upravljanje deficitarnim resursima - optimizirati upotrebu deficitarnih resursa kroz centralizirani popis istih, te uz nužnost rješavanja lokalnih konfliktnih situacija, </w:t>
      </w:r>
    </w:p>
    <w:p w:rsidR="001646BE" w:rsidRDefault="001646BE" w:rsidP="007A09DB">
      <w:pPr>
        <w:spacing w:after="0"/>
      </w:pPr>
    </w:p>
    <w:p w:rsidR="001646BE" w:rsidRDefault="001646BE" w:rsidP="007A09DB">
      <w:pPr>
        <w:pStyle w:val="ListParagraph"/>
        <w:numPr>
          <w:ilvl w:val="0"/>
          <w:numId w:val="13"/>
        </w:numPr>
        <w:spacing w:after="0"/>
        <w:ind w:left="284" w:hanging="284"/>
      </w:pPr>
      <w:r>
        <w:t xml:space="preserve">upravljanje protokom zračnog prometa - koordinacija i dodjeljivanje slotova gdje se slotovi alociraju u funkciji zahtijevanog vremena dolaska, kako bi se osigurala mogućnost predviđanja razvoja situacije, bolja implementacija mjera za upravljanje protokom, te povezivanje ATM-a sa aerodromskim operacijama, </w:t>
      </w:r>
    </w:p>
    <w:p w:rsidR="001646BE" w:rsidRDefault="001646BE" w:rsidP="007A09DB">
      <w:pPr>
        <w:spacing w:after="0"/>
      </w:pPr>
    </w:p>
    <w:p w:rsidR="001646BE" w:rsidRDefault="001646BE" w:rsidP="007A09DB">
      <w:pPr>
        <w:pStyle w:val="ListParagraph"/>
        <w:numPr>
          <w:ilvl w:val="0"/>
          <w:numId w:val="13"/>
        </w:numPr>
        <w:ind w:left="284" w:hanging="284"/>
      </w:pPr>
      <w:r>
        <w:t>upravljanje razvojem SESAR tehnologija i osiguranje infrastrukturnih elemenata - osiguranje usklađenosti i dostupnosti prikladne opreme, te upravljanje mrežom informacija.</w:t>
      </w:r>
    </w:p>
    <w:p w:rsidR="001646BE" w:rsidRDefault="001646BE" w:rsidP="008E551D">
      <w:pPr>
        <w:ind w:firstLine="360"/>
      </w:pPr>
      <w:r>
        <w:t>Modaliteti za ispunjavanje navedenih zahtjeva razvijaju se preko implementacijskih pravila, osiguravajući nepristranost i uključivanje avioindustrije u program. Mrežni menadžment treba također osigurati globalnu interoperabilnost i kooperaciju sa susjednim zemljama, a pristup i kontekst upravljanja mrežom trebao bi pomoći regionalnim FAB inicijativama.</w:t>
      </w:r>
    </w:p>
    <w:p w:rsidR="001646BE" w:rsidRDefault="001646BE" w:rsidP="008E551D">
      <w:pPr>
        <w:ind w:firstLine="360"/>
      </w:pPr>
      <w:r>
        <w:t>Potrebno je osigurati i sinergiju s Eurocontrolom kao tehničkim i operativnim centrom, dok bi zemlje članice trebale pojedinačno i preko odgovarajućih tijela osigurati političku suglasnost i potporu. Kao rok za izradu regulativa potrebnih za ispunjavanje navedenih planova, određena je 2010. godina.</w:t>
      </w:r>
    </w:p>
    <w:p w:rsidR="001646BE" w:rsidRDefault="001646BE" w:rsidP="008E551D">
      <w:pPr>
        <w:ind w:firstLine="360"/>
      </w:pPr>
    </w:p>
    <w:p w:rsidR="001646BE" w:rsidRDefault="001646BE" w:rsidP="007A09DB"/>
    <w:p w:rsidR="001646BE" w:rsidRDefault="001646BE" w:rsidP="003C0466">
      <w:pPr>
        <w:pStyle w:val="Heading3"/>
      </w:pPr>
      <w:bookmarkStart w:id="23" w:name="_Toc296339015"/>
      <w:r>
        <w:lastRenderedPageBreak/>
        <w:t>2.2.2</w:t>
      </w:r>
      <w:r>
        <w:tab/>
        <w:t>SIGURNOSNI OKVIR JEDINSTVENOG EUROPSKOG NEBA</w:t>
      </w:r>
      <w:bookmarkEnd w:id="23"/>
    </w:p>
    <w:p w:rsidR="001646BE" w:rsidRDefault="001646BE" w:rsidP="00DB0526">
      <w:pPr>
        <w:ind w:firstLine="360"/>
      </w:pPr>
    </w:p>
    <w:p w:rsidR="001646BE" w:rsidRDefault="001646BE" w:rsidP="00DB0526">
      <w:pPr>
        <w:ind w:firstLine="360"/>
      </w:pPr>
      <w:r>
        <w:t xml:space="preserve">S porastom zračnog prometa i kompleksnošću sustava, od kojeg se isti sastoji, javlja se potreba za jedinstvenim i zajedničkim razvojem sigurnosnih regulativa i njihove efikasne implementacije, kako bi se osigurala trenutna razina ili, ukoliko je moguće, poboljšanje razine sigurnosti u avioindustriji i zračnom prometu. S obzirom na različitosti između zemalja članica u pogledu razine i standarda sigurnosti, odlučeno je 2002. godine riješiti taj problem ustrojem EASA-e kao jedinstvenog subjekta koji se brine o razini sigurnosti zračnog prometa u Europi. Od uspostave EASA-e do danas, njene kompetencije su znatno porasle, te obuhvaćaju područja plovidbenosti zrakoplova, zrakoplovne operacije i licenciranje osoblja uz mogućnost inspekcije ispunjavanja obaveza zemalja članica. </w:t>
      </w:r>
    </w:p>
    <w:p w:rsidR="001646BE" w:rsidRDefault="001646BE" w:rsidP="00DB0526">
      <w:pPr>
        <w:ind w:firstLine="360"/>
      </w:pPr>
      <w:r>
        <w:t xml:space="preserve">Prema SES II </w:t>
      </w:r>
      <w:r w:rsidR="004346EF">
        <w:t>regulativno</w:t>
      </w:r>
      <w:r>
        <w:t>m paketu, sigurnosna razina dodatno se povećava proširivanjem ovlasti EASA-e na preostala ključna sigurnosna područja: aerodrome, ATM i ANS</w:t>
      </w:r>
      <w:r>
        <w:rPr>
          <w:rStyle w:val="FootnoteReference"/>
        </w:rPr>
        <w:footnoteReference w:id="19"/>
      </w:r>
      <w:r>
        <w:t>. Preporuke iznesene u ovoj cjelini odnose se na povećanje odgovornosti EASA-i, čime bi se osigurala precizna i jedinstvena pravila za osiguranje sigurnosti aerodroma, upravljanje zračnim prometom i usluge u zračnoj plovidbi.</w:t>
      </w:r>
    </w:p>
    <w:p w:rsidR="00B95840" w:rsidRDefault="001646BE" w:rsidP="00B95840">
      <w:pPr>
        <w:ind w:firstLine="360"/>
      </w:pPr>
      <w:r>
        <w:t xml:space="preserve">Europska agencija za sigurnost zračnog prometa osnovana je 2003. godine regulativom o zajedničkim pravilima u području civilnog zrakoplovstva i osnivanju Europske agencije za sigurnost zračnog prometa (EC 1592/2002), kojom je ovlaštena djelovati u domeni plovidbenosti zrakoplova. Krajem 2008. godine, ovlasti EASA-e proširene su na zrakoplovne operacije i licenciranje osoblja. U SES II </w:t>
      </w:r>
      <w:r w:rsidR="004346EF">
        <w:t>regulativno</w:t>
      </w:r>
      <w:r>
        <w:t xml:space="preserve">m paketu, regulativom o izmjenama i dopunama Uredbe (EC 216/2008) u području aerodroma, upravljanja zračnim prometom i usluga u zračnoj plovidbi ovlasti EASA-e, dodatno su proširene na domenu aerodroma, ATM-a i ANS-a, čineći je tako jedinstvenim europskim sigurnosnim regulatorom. Tom regulativom zaokružuje se čitav sustav, te dodatno ojačava sigurnosni aspekt unutar SES II </w:t>
      </w:r>
      <w:r w:rsidR="004346EF">
        <w:t>regulativno</w:t>
      </w:r>
      <w:r>
        <w:t>g paketa</w:t>
      </w:r>
      <w:r w:rsidRPr="00833BAF">
        <w:t xml:space="preserve"> </w:t>
      </w:r>
      <w:r>
        <w:t>[</w:t>
      </w:r>
      <w:r w:rsidR="004D5F73">
        <w:fldChar w:fldCharType="begin"/>
      </w:r>
      <w:r>
        <w:instrText xml:space="preserve"> REF _Ref296005332 \r \h </w:instrText>
      </w:r>
      <w:r w:rsidR="004D5F73">
        <w:fldChar w:fldCharType="separate"/>
      </w:r>
      <w:r w:rsidR="00031686">
        <w:t>13</w:t>
      </w:r>
      <w:r w:rsidR="004D5F73">
        <w:fldChar w:fldCharType="end"/>
      </w:r>
      <w:r>
        <w:t>].</w:t>
      </w:r>
    </w:p>
    <w:p w:rsidR="00B95840" w:rsidRDefault="00B95840" w:rsidP="00B95840">
      <w:pPr>
        <w:ind w:firstLine="360"/>
      </w:pPr>
    </w:p>
    <w:p w:rsidR="00B95840" w:rsidRDefault="00B95840" w:rsidP="00B95840">
      <w:pPr>
        <w:ind w:firstLine="360"/>
      </w:pPr>
    </w:p>
    <w:p w:rsidR="001646BE" w:rsidRDefault="001646BE" w:rsidP="00980C59">
      <w:pPr>
        <w:pStyle w:val="Heading3"/>
      </w:pPr>
      <w:bookmarkStart w:id="24" w:name="_Toc296339016"/>
      <w:r>
        <w:lastRenderedPageBreak/>
        <w:t>2.2.3</w:t>
      </w:r>
      <w:r w:rsidRPr="00980C59">
        <w:t xml:space="preserve"> </w:t>
      </w:r>
      <w:r>
        <w:t>RAZVOJ NOVIH TEHNOLOGIJA</w:t>
      </w:r>
      <w:bookmarkEnd w:id="24"/>
      <w:r>
        <w:tab/>
      </w:r>
    </w:p>
    <w:p w:rsidR="001646BE" w:rsidRDefault="001646BE" w:rsidP="00AC03D8"/>
    <w:p w:rsidR="001646BE" w:rsidRDefault="001646BE" w:rsidP="00597D0C">
      <w:pPr>
        <w:ind w:firstLine="360"/>
      </w:pPr>
      <w:r>
        <w:t>Europa treba ubrzati razvoj sustava kontrole zračnog prometa, ukoliko se želi suočiti sa izazovima prometne potražnje. Oprema, koja se koristi u europskom ATM-u, nije se mnogo promijenila i razvila u posljednjih nekoliko desetljeća, te je teško pratiti povećanje zračnog prometa korištenjem iste. Novi, usvojeni SES program, ne može se temeljiti na zastarjeloj opremi i tehnologiji, stoga se kao rješenje nameće SESAR projekt.</w:t>
      </w:r>
      <w:r w:rsidRPr="00597D0C">
        <w:t xml:space="preserve"> </w:t>
      </w:r>
      <w:r>
        <w:t>Projekt SESAR, kao tehnološki element SES programa, odgovor je EU na potrebu tehnološke modernizacije europskog ATM sustava, kako bi se uspješno odgovorilo na rastuće zahtjeve prometne potražnje i razvoja zračnog prometa.</w:t>
      </w:r>
      <w:r w:rsidRPr="00597D0C">
        <w:t xml:space="preserve"> </w:t>
      </w:r>
    </w:p>
    <w:p w:rsidR="001646BE" w:rsidRDefault="001646BE" w:rsidP="00597D0C">
      <w:pPr>
        <w:ind w:firstLine="360"/>
      </w:pPr>
      <w:r>
        <w:t>SESAR je infrastrukturni i tehnološki modernizacijski program Europske kontrole zračnog prometa koji treba razviti novu generaciju ATM sustava, sposobnog za osiguranje visoke razine sigurnosti i protočnosti zračnog prometa u sljedećih 30 godina. Implementacija SESAR programa riješiti će problem fragmentacije i različitosti, što se tiče opreme koju koriste pružatelji i korisnici usluga u zračnoj plovidbi, te će ubrzati tehnološki razvoj avioindustrije i zračnog prometa primjenom novih tehnologija i sustava</w:t>
      </w:r>
      <w:r w:rsidRPr="008A7CEE">
        <w:t xml:space="preserve"> </w:t>
      </w:r>
      <w:r>
        <w:t>[14].</w:t>
      </w:r>
    </w:p>
    <w:p w:rsidR="001646BE" w:rsidRDefault="001646BE" w:rsidP="00597D0C">
      <w:pPr>
        <w:ind w:firstLine="360"/>
      </w:pPr>
      <w:r>
        <w:t xml:space="preserve">Europska unija je 2005. godine lansirala projekt SESAR, koji bi trebao povećati sigurnost uz mogućnost opsluživanja trostruko većeg prometa od današnjeg uz duplo manje troškove, te je na bazi SESAR master plana 2009. godine potvrđen europski ATM master plan. </w:t>
      </w:r>
    </w:p>
    <w:p w:rsidR="001646BE" w:rsidRDefault="001646BE" w:rsidP="00107276">
      <w:pPr>
        <w:ind w:firstLine="360"/>
      </w:pPr>
      <w:r>
        <w:t>Kako bi se SESAR program ostvari,  potrebno je osigurati instrumente upravljanja, te je EU donijela regulativu</w:t>
      </w:r>
      <w:r w:rsidRPr="00107276">
        <w:t xml:space="preserve"> </w:t>
      </w:r>
      <w:r>
        <w:t>o uspostavljanju zajedničkog pothvata za razvoj nove generacije Europskog sustava upravljanja zračnim prometom,  kojom se uspostavlja SESAR JU</w:t>
      </w:r>
      <w:r>
        <w:rPr>
          <w:rStyle w:val="FootnoteReference"/>
        </w:rPr>
        <w:footnoteReference w:id="20"/>
      </w:r>
      <w:r>
        <w:t xml:space="preserve"> [</w:t>
      </w:r>
      <w:r w:rsidR="004D5F73">
        <w:fldChar w:fldCharType="begin"/>
      </w:r>
      <w:r>
        <w:instrText xml:space="preserve"> REF _Ref296005420 \r \h </w:instrText>
      </w:r>
      <w:r w:rsidR="004D5F73">
        <w:fldChar w:fldCharType="separate"/>
      </w:r>
      <w:r w:rsidR="00031686">
        <w:t>14</w:t>
      </w:r>
      <w:r w:rsidR="004D5F73">
        <w:fldChar w:fldCharType="end"/>
      </w:r>
      <w:r>
        <w:t>].</w:t>
      </w:r>
    </w:p>
    <w:p w:rsidR="00B95840" w:rsidRDefault="00B95840" w:rsidP="00980C59"/>
    <w:p w:rsidR="00B95840" w:rsidRDefault="00B95840" w:rsidP="00980C59"/>
    <w:p w:rsidR="001646BE" w:rsidRDefault="001646BE" w:rsidP="00980C59">
      <w:r>
        <w:lastRenderedPageBreak/>
        <w:t>Implementacija projekta SESAR izvršit će se kroz tri faze:</w:t>
      </w:r>
    </w:p>
    <w:p w:rsidR="001646BE" w:rsidRDefault="001646BE" w:rsidP="005A74CA">
      <w:pPr>
        <w:pStyle w:val="ListParagraph"/>
        <w:numPr>
          <w:ilvl w:val="0"/>
          <w:numId w:val="16"/>
        </w:numPr>
      </w:pPr>
      <w:r>
        <w:t>FAZA DEFINIRANJA - (2005-2008) razvoj SESAR ATM master plana,</w:t>
      </w:r>
    </w:p>
    <w:p w:rsidR="001646BE" w:rsidRDefault="001646BE" w:rsidP="005A74CA">
      <w:pPr>
        <w:pStyle w:val="ListParagraph"/>
        <w:numPr>
          <w:ilvl w:val="0"/>
          <w:numId w:val="16"/>
        </w:numPr>
      </w:pPr>
      <w:r>
        <w:t>RAZVOJNA FAZA - (2008-2013) razvoj temeljnih tehnologija koje će poduprijeti ATM sustav nove generacije,</w:t>
      </w:r>
    </w:p>
    <w:p w:rsidR="001646BE" w:rsidRDefault="001646BE" w:rsidP="005A74CA">
      <w:pPr>
        <w:pStyle w:val="ListParagraph"/>
        <w:numPr>
          <w:ilvl w:val="0"/>
          <w:numId w:val="16"/>
        </w:numPr>
      </w:pPr>
      <w:r>
        <w:t>FAZA IMPLEMENTACIJE - (2014-2020) masovna instalacija novih sustava.</w:t>
      </w:r>
    </w:p>
    <w:p w:rsidR="001646BE" w:rsidRDefault="001646BE" w:rsidP="00461DE3">
      <w:r>
        <w:t>Implementacija ATM master plana podijeljena je u pet područja:</w:t>
      </w:r>
    </w:p>
    <w:p w:rsidR="001646BE" w:rsidRDefault="001646BE" w:rsidP="00B95840">
      <w:pPr>
        <w:pStyle w:val="ListParagraph"/>
        <w:numPr>
          <w:ilvl w:val="0"/>
          <w:numId w:val="17"/>
        </w:numPr>
        <w:spacing w:after="0"/>
      </w:pPr>
      <w:r>
        <w:t>poboljšanje razine usluga europskog ATM-a u cilju ispunjavanja prometnih potreba,</w:t>
      </w:r>
    </w:p>
    <w:p w:rsidR="001646BE" w:rsidRDefault="001646BE" w:rsidP="00B95840">
      <w:pPr>
        <w:pStyle w:val="ListParagraph"/>
        <w:numPr>
          <w:ilvl w:val="0"/>
          <w:numId w:val="17"/>
        </w:numPr>
        <w:spacing w:after="0"/>
      </w:pPr>
      <w:r>
        <w:t>evolucija sustava prema konceptu SWIM</w:t>
      </w:r>
      <w:r>
        <w:rPr>
          <w:rStyle w:val="FootnoteReference"/>
        </w:rPr>
        <w:footnoteReference w:id="21"/>
      </w:r>
      <w:r>
        <w:t>,</w:t>
      </w:r>
    </w:p>
    <w:p w:rsidR="001646BE" w:rsidRDefault="001646BE" w:rsidP="00B95840">
      <w:pPr>
        <w:pStyle w:val="ListParagraph"/>
        <w:numPr>
          <w:ilvl w:val="0"/>
          <w:numId w:val="17"/>
        </w:numPr>
        <w:spacing w:after="0"/>
      </w:pPr>
      <w:r>
        <w:t>institucionalne promjene kao potporanj razvoju europskog ATM-a,</w:t>
      </w:r>
    </w:p>
    <w:p w:rsidR="001646BE" w:rsidRDefault="001646BE" w:rsidP="00B95840">
      <w:pPr>
        <w:pStyle w:val="ListParagraph"/>
        <w:numPr>
          <w:ilvl w:val="0"/>
          <w:numId w:val="17"/>
        </w:numPr>
        <w:spacing w:after="0"/>
      </w:pPr>
      <w:r>
        <w:t>razvoj integriranog sustava upravljanja okolišem, sigurnošću i ljudskim faktorom,</w:t>
      </w:r>
    </w:p>
    <w:p w:rsidR="001646BE" w:rsidRDefault="001646BE" w:rsidP="00B95840">
      <w:pPr>
        <w:pStyle w:val="ListParagraph"/>
        <w:numPr>
          <w:ilvl w:val="0"/>
          <w:numId w:val="17"/>
        </w:numPr>
      </w:pPr>
      <w:r>
        <w:t xml:space="preserve">projekcija razvoja za svaku pojedinu grupaciju subjekata zračnog prometa (pružatelji aeronautičkih informacija, ANSP-i, aerodromski operateri, korisnici zračnog prostora, SWIM upravitelji, </w:t>
      </w:r>
      <w:r w:rsidR="004346EF">
        <w:t>regulativna</w:t>
      </w:r>
      <w:r>
        <w:t xml:space="preserve"> tijela, istraživačka tijela i tijela zadužena za standardizaciju).</w:t>
      </w:r>
    </w:p>
    <w:p w:rsidR="001646BE" w:rsidRDefault="001646BE" w:rsidP="00B95840">
      <w:pPr>
        <w:spacing w:after="0"/>
        <w:ind w:firstLine="360"/>
      </w:pPr>
      <w:r>
        <w:t xml:space="preserve">Europski ATM master plan djelomično se koordinira s američkim planom poboljšanja ATM sustava (NextGen), kako bi se osigurala usklađenost gdje je to potrebno. </w:t>
      </w:r>
    </w:p>
    <w:p w:rsidR="001646BE" w:rsidRDefault="001646BE" w:rsidP="003A6400">
      <w:pPr>
        <w:ind w:firstLine="360"/>
      </w:pPr>
    </w:p>
    <w:p w:rsidR="00B95840" w:rsidRDefault="00B95840" w:rsidP="003A6400">
      <w:pPr>
        <w:ind w:firstLine="360"/>
      </w:pPr>
    </w:p>
    <w:p w:rsidR="00B95840" w:rsidRDefault="00B95840" w:rsidP="003A6400">
      <w:pPr>
        <w:ind w:firstLine="360"/>
      </w:pPr>
    </w:p>
    <w:p w:rsidR="00B95840" w:rsidRDefault="00B95840" w:rsidP="003A6400">
      <w:pPr>
        <w:ind w:firstLine="360"/>
      </w:pPr>
    </w:p>
    <w:p w:rsidR="00B95840" w:rsidRDefault="00B95840" w:rsidP="003A6400">
      <w:pPr>
        <w:ind w:firstLine="360"/>
      </w:pPr>
    </w:p>
    <w:p w:rsidR="00B95840" w:rsidRDefault="00B95840" w:rsidP="003A6400">
      <w:pPr>
        <w:ind w:firstLine="360"/>
      </w:pPr>
    </w:p>
    <w:p w:rsidR="00B95840" w:rsidRDefault="00B95840" w:rsidP="003A6400">
      <w:pPr>
        <w:ind w:firstLine="360"/>
      </w:pPr>
    </w:p>
    <w:p w:rsidR="00B95840" w:rsidRDefault="00B95840" w:rsidP="003A6400">
      <w:pPr>
        <w:ind w:firstLine="360"/>
      </w:pPr>
    </w:p>
    <w:p w:rsidR="001646BE" w:rsidRDefault="001646BE" w:rsidP="00980C59">
      <w:pPr>
        <w:pStyle w:val="Heading3"/>
      </w:pPr>
      <w:bookmarkStart w:id="25" w:name="_Toc296339017"/>
      <w:r>
        <w:lastRenderedPageBreak/>
        <w:t>2.2.4</w:t>
      </w:r>
      <w:r>
        <w:tab/>
        <w:t>UPRAVLJANJE AERODROMSKIM KAPACITETIMA</w:t>
      </w:r>
      <w:bookmarkEnd w:id="25"/>
    </w:p>
    <w:p w:rsidR="001646BE" w:rsidRDefault="001646BE" w:rsidP="00AC03D8">
      <w:bookmarkStart w:id="26" w:name="Structure"/>
      <w:bookmarkStart w:id="27" w:name="Cost_Benefit_Assessment__28CBA_29"/>
      <w:bookmarkStart w:id="28" w:name="NextGen"/>
      <w:bookmarkEnd w:id="26"/>
      <w:bookmarkEnd w:id="27"/>
      <w:bookmarkEnd w:id="28"/>
    </w:p>
    <w:p w:rsidR="001646BE" w:rsidRDefault="001646BE" w:rsidP="00A77B68">
      <w:pPr>
        <w:ind w:firstLine="360"/>
      </w:pPr>
      <w:r>
        <w:t>Europski Parlament i Vijeće EU potvrdili su 2007. godine „Akcijski plan za aerodromske kapacitete, efikasnost i sigurnost u Europi“. Navedeni akcijski plan sadrži mjere za povećanje produktivnosti, optimizaciju planiranja aerodromske infrastrukture uz istovremeno povećanje sigurnosnih i okolišnih standarda [16].</w:t>
      </w:r>
    </w:p>
    <w:p w:rsidR="001646BE" w:rsidRDefault="001646BE" w:rsidP="00A77B68">
      <w:pPr>
        <w:ind w:firstLine="360"/>
      </w:pPr>
      <w:r>
        <w:t xml:space="preserve">Aerodromi su važan ekonomski čimbenik na regionalnoj i globalnoj skali. U Europi trenutno aerodromski operateri direktno zapošljavaju oko 120 000 ljudi, koji opslužuju ukupno 580 milijuna putnika godišnje. </w:t>
      </w:r>
    </w:p>
    <w:p w:rsidR="001646BE" w:rsidRDefault="001646BE" w:rsidP="00A77B68">
      <w:pPr>
        <w:ind w:firstLine="360"/>
      </w:pPr>
      <w:r>
        <w:t xml:space="preserve">Kapacitet aerodroma u funkciji je USS-e i ostalih infrastrukturnih objekata na aerodromu poput parkirališta, terminalne zgrade i sl. Ukoliko ne dođe do značajnog povećanja kapaciteta, procjenjuje se da će do 2025. godine većina europskih aerodroma biti zagušena 8-10 sati na dan. Takvo stanje znatno može narušiti sigurnost, efikasnost i ekonomsku isplativost europskog zračnog sustava. Planiranje povećanja aerodromskih kapaciteta predstavlja izazov s obzirom da je potrebno 5-10 godina kako bi se izgradila nova infrastruktura, a 1-5 godina je potrebno za planiranje i optimizaciju USS-a i okolnog zračnog prostora. </w:t>
      </w:r>
    </w:p>
    <w:p w:rsidR="001646BE" w:rsidRDefault="001646BE" w:rsidP="00A77B68">
      <w:pPr>
        <w:ind w:firstLine="360"/>
      </w:pPr>
      <w:r>
        <w:t>Mjere koje su donesene u cilju rješavanja problema aerodromskih kapaciteta su sljedeće:</w:t>
      </w:r>
    </w:p>
    <w:p w:rsidR="001646BE" w:rsidRDefault="001646BE" w:rsidP="00B95840">
      <w:pPr>
        <w:pStyle w:val="ListParagraph"/>
        <w:numPr>
          <w:ilvl w:val="0"/>
          <w:numId w:val="18"/>
        </w:numPr>
        <w:spacing w:after="0"/>
      </w:pPr>
      <w:r>
        <w:t>bolja iskoristivost trenutnih aerodromskih kapaciteta,</w:t>
      </w:r>
    </w:p>
    <w:p w:rsidR="001646BE" w:rsidRDefault="001646BE" w:rsidP="00B95840">
      <w:pPr>
        <w:pStyle w:val="ListParagraph"/>
        <w:numPr>
          <w:ilvl w:val="0"/>
          <w:numId w:val="18"/>
        </w:numPr>
        <w:spacing w:after="0"/>
      </w:pPr>
      <w:r>
        <w:t>usklađen pristup osiguranja sigurnosti zrakoplovnih operacija na aerodromima,</w:t>
      </w:r>
    </w:p>
    <w:p w:rsidR="001646BE" w:rsidRDefault="001646BE" w:rsidP="00B95840">
      <w:pPr>
        <w:pStyle w:val="ListParagraph"/>
        <w:numPr>
          <w:ilvl w:val="0"/>
          <w:numId w:val="18"/>
        </w:numPr>
        <w:spacing w:after="0"/>
      </w:pPr>
      <w:r>
        <w:t>promicanje intermodalnosti prometa,</w:t>
      </w:r>
    </w:p>
    <w:p w:rsidR="001646BE" w:rsidRDefault="001646BE" w:rsidP="00B95840">
      <w:pPr>
        <w:pStyle w:val="ListParagraph"/>
        <w:numPr>
          <w:ilvl w:val="0"/>
          <w:numId w:val="18"/>
        </w:numPr>
        <w:spacing w:after="0"/>
      </w:pPr>
      <w:r>
        <w:t>poboljšanje okolišnog kapaciteta aerodroma,</w:t>
      </w:r>
    </w:p>
    <w:p w:rsidR="001646BE" w:rsidRDefault="001646BE" w:rsidP="00B95840">
      <w:pPr>
        <w:pStyle w:val="ListParagraph"/>
        <w:numPr>
          <w:ilvl w:val="0"/>
          <w:numId w:val="18"/>
        </w:numPr>
        <w:spacing w:after="0"/>
      </w:pPr>
      <w:r>
        <w:t>razvijanje i implementacija tehnoloških rješenja [16].</w:t>
      </w:r>
    </w:p>
    <w:p w:rsidR="001646BE" w:rsidRDefault="001646BE" w:rsidP="00B95840">
      <w:pPr>
        <w:spacing w:after="0"/>
      </w:pPr>
    </w:p>
    <w:p w:rsidR="001646BE" w:rsidRDefault="001646BE" w:rsidP="0059685F">
      <w:pPr>
        <w:ind w:firstLine="360"/>
      </w:pPr>
    </w:p>
    <w:p w:rsidR="001646BE" w:rsidRDefault="001646BE" w:rsidP="0059685F">
      <w:pPr>
        <w:ind w:firstLine="360"/>
      </w:pPr>
    </w:p>
    <w:p w:rsidR="001646BE" w:rsidRDefault="001646BE" w:rsidP="0059685F">
      <w:pPr>
        <w:ind w:firstLine="360"/>
      </w:pPr>
    </w:p>
    <w:p w:rsidR="001646BE" w:rsidRDefault="001646BE" w:rsidP="00893C47">
      <w:pPr>
        <w:pStyle w:val="Heading1"/>
        <w:numPr>
          <w:ilvl w:val="0"/>
          <w:numId w:val="0"/>
        </w:numPr>
        <w:spacing w:before="0"/>
        <w:ind w:left="360" w:hanging="360"/>
      </w:pPr>
      <w:bookmarkStart w:id="29" w:name="_Toc296339018"/>
      <w:r>
        <w:lastRenderedPageBreak/>
        <w:t>3</w:t>
      </w:r>
      <w:r>
        <w:tab/>
        <w:t>REGIONALIZACIJA EUROPSKOG SUSTAVA UPRAVLJANJA ZRAČNIM PROMETOM</w:t>
      </w:r>
      <w:bookmarkEnd w:id="29"/>
    </w:p>
    <w:p w:rsidR="001646BE" w:rsidRPr="00A56C8A" w:rsidRDefault="001646BE" w:rsidP="00893C47"/>
    <w:p w:rsidR="001646BE" w:rsidRDefault="001646BE" w:rsidP="00893C47">
      <w:pPr>
        <w:ind w:firstLine="360"/>
      </w:pPr>
      <w:r>
        <w:t>Europski sustav upravljanja zračnim prometom iznimno je kompleksan i kompliciran sustav koji je dugi niz godina djelovao nekoordinirano, fragmentirano i neefikasno s obzirom na potencijale koji se mogu ostvariti. Navedeno se očituje u velikom broju ACC</w:t>
      </w:r>
      <w:r>
        <w:rPr>
          <w:rStyle w:val="FootnoteReference"/>
        </w:rPr>
        <w:footnoteReference w:id="22"/>
      </w:r>
      <w:r>
        <w:t xml:space="preserve">-a, dizajnu mreže i zračnog prostora sukladno državnim granicama zemalja članica, različitosti procedura i opreme i sl. </w:t>
      </w:r>
    </w:p>
    <w:p w:rsidR="001646BE" w:rsidRDefault="001646BE" w:rsidP="00893C47">
      <w:pPr>
        <w:ind w:firstLine="360"/>
      </w:pPr>
      <w:r>
        <w:t xml:space="preserve">Kontinuiranim rastom zračnog prometa, navedeno stanje europskog ATM sustava nije više bilo u mogućnosti na zadovoljavajući način i uz zadovoljenje sigurnosti, pratiti korak s povećanom potražnjom za zračnim prometom. U cilju rješavanja problema usvaja se SES program čiji je cilj, između ostalog, zračni prostor Europe ujediniti u jedinstveni kontinuum. </w:t>
      </w:r>
    </w:p>
    <w:p w:rsidR="001646BE" w:rsidRDefault="001646BE" w:rsidP="00893C47">
      <w:pPr>
        <w:ind w:firstLine="360"/>
      </w:pPr>
      <w:r>
        <w:t xml:space="preserve">Koraci koji vode ostvarenju SES programa ostvaruju se regionalizacijom europskog ATM sustava i zračnog prostora u funkcionalne blokove zračnog prostora s ciljem optimizacije funkcioniranja zračnog prometa, zračnog prostora, funkcioniranja mreže, poboljšanja efikasnosti i smanjenja troškova čitavog ATM sustava uz podizanje sigurnosnih kriterija. </w:t>
      </w:r>
    </w:p>
    <w:p w:rsidR="001646BE" w:rsidRDefault="001646BE" w:rsidP="00893C47">
      <w:pPr>
        <w:ind w:firstLine="360"/>
      </w:pPr>
      <w:r>
        <w:t>Regionalizacija se provodi uspostavom devet funkcionalnih blokova zračnog prostora na prostoru Europe, dok se na prostoru jugoistočne Europe zbog komplicirane političke situacije i nesređenih odnosa javlja čitav niz inicijativa koje nadopunjuju ili dokidaju jedna drugu, a od kojih su najvažnije CEATS</w:t>
      </w:r>
      <w:r>
        <w:rPr>
          <w:rStyle w:val="FootnoteReference"/>
        </w:rPr>
        <w:footnoteReference w:id="23"/>
      </w:r>
      <w:r>
        <w:t>, SEE FABA</w:t>
      </w:r>
      <w:r>
        <w:rPr>
          <w:rStyle w:val="FootnoteReference"/>
        </w:rPr>
        <w:footnoteReference w:id="24"/>
      </w:r>
      <w:r>
        <w:t xml:space="preserve"> i ISIS</w:t>
      </w:r>
      <w:r>
        <w:rPr>
          <w:rStyle w:val="FootnoteReference"/>
        </w:rPr>
        <w:footnoteReference w:id="25"/>
      </w:r>
      <w:r>
        <w:t xml:space="preserve"> [</w:t>
      </w:r>
      <w:r w:rsidR="004D5F73">
        <w:fldChar w:fldCharType="begin"/>
      </w:r>
      <w:r>
        <w:instrText xml:space="preserve"> REF _Ref296006029 \r \h </w:instrText>
      </w:r>
      <w:r w:rsidR="004D5F73">
        <w:fldChar w:fldCharType="separate"/>
      </w:r>
      <w:r w:rsidR="00031686">
        <w:t>17</w:t>
      </w:r>
      <w:r w:rsidR="004D5F73">
        <w:fldChar w:fldCharType="end"/>
      </w:r>
      <w:r>
        <w:t>] [18].</w:t>
      </w:r>
    </w:p>
    <w:p w:rsidR="001646BE" w:rsidRDefault="001646BE" w:rsidP="00893C47">
      <w:pPr>
        <w:ind w:firstLine="709"/>
      </w:pPr>
    </w:p>
    <w:p w:rsidR="001646BE" w:rsidRDefault="001646BE" w:rsidP="00893C47">
      <w:pPr>
        <w:ind w:firstLine="709"/>
      </w:pPr>
    </w:p>
    <w:p w:rsidR="001646BE" w:rsidRDefault="001646BE" w:rsidP="00893C47"/>
    <w:p w:rsidR="001646BE" w:rsidRDefault="001646BE" w:rsidP="00893C47">
      <w:pPr>
        <w:pStyle w:val="Heading2"/>
        <w:ind w:left="705" w:hanging="705"/>
      </w:pPr>
      <w:bookmarkStart w:id="30" w:name="_Toc296339019"/>
      <w:r>
        <w:lastRenderedPageBreak/>
        <w:t>3.1</w:t>
      </w:r>
      <w:r>
        <w:tab/>
        <w:t>KONCEPT FUNKCIONALNOG BLOKA ZRAČNOG PROSTORA</w:t>
      </w:r>
      <w:bookmarkEnd w:id="30"/>
    </w:p>
    <w:p w:rsidR="001646BE" w:rsidRDefault="001646BE" w:rsidP="00893C47"/>
    <w:p w:rsidR="001646BE" w:rsidRDefault="001646BE" w:rsidP="00893C47">
      <w:pPr>
        <w:ind w:firstLine="360"/>
      </w:pPr>
      <w:r>
        <w:t>Prema definiciji, funkcionalni blok zračnog prostora (FAB) je blok zračnog prostora uspostavljen na temelju operativnih zahtjeva, te koji odražava potrebu za integriranim upravljanjem zračnim prostorom neovisno o državnim granicama. Pružanje usluga u zračnoj plovidbi i srodnih funkcija je optimizirano i integrirano.</w:t>
      </w:r>
    </w:p>
    <w:p w:rsidR="001646BE" w:rsidRDefault="001646BE" w:rsidP="00893C47">
      <w:pPr>
        <w:ind w:firstLine="360"/>
      </w:pPr>
      <w:r>
        <w:t>Koncept funkcionalnog bloka zračnog prostora uvodio se postepeno od 2000. godine i zasjedanja HLG-a, da bi se pojam i koncept FAB-a prvi put službeno pojavio u studiji o SES programu, preciznije u studiji o dizajnu i upravljanju zračnim prostorom iz 2001.</w:t>
      </w:r>
    </w:p>
    <w:p w:rsidR="001646BE" w:rsidRDefault="001646BE" w:rsidP="00893C47">
      <w:pPr>
        <w:ind w:firstLine="360"/>
      </w:pPr>
      <w:r>
        <w:t xml:space="preserve">Grupa visokih predstavnika oformljena je 2000. godine kako bi pronašla rješenja za ozbiljna ATFM kašnjenja uzrokovana nedostatkom kapaciteta zračnog prostora. Iako pojam FAB nije spomenut, zaključeno je da bi zračni prostor trebao biti upravljan kao jedinstveni kontinuum te da bi se kooperacija između ANSP-a trebala provoditi na regionalnim razinama u cilju integriranog upravljanja zračnim prostorom i operiranja zračnim blokovima neovisno o državnim granicama. </w:t>
      </w:r>
    </w:p>
    <w:p w:rsidR="001646BE" w:rsidRDefault="001646BE" w:rsidP="00893C47">
      <w:pPr>
        <w:ind w:firstLine="360"/>
      </w:pPr>
      <w:r>
        <w:t>Na temelju izvješća HLG-a, studija i nacrt regulative o SES programu iz 2001. godine donosi preporuke za uspostavu tzv. FAB-ova u cilju organizacije zračnog prostora sukladno ekonomičnosti, operativnoj efikasnosti i sigurnosti, a ne nužno na temelju povijesnih državnih granica. Predloženo je da FAB-ovi djeluju u gornjem kontroliranom zračnom prostoru slično kao Maastricht UAC</w:t>
      </w:r>
      <w:r>
        <w:rPr>
          <w:rStyle w:val="FootnoteReference"/>
        </w:rPr>
        <w:footnoteReference w:id="26"/>
      </w:r>
      <w:r>
        <w:t xml:space="preserve"> te da se uspostavi EUIR i rekonfigurira u FAB-ove. Funkcionalni blokovi zračnog prostora trebali bi osigurati efikasno odvijanje zračnog prometa i osigurati dizajn zračnog prostora koji maksimalno povećava efikasnost čitavog europskog zračnog prostora vodeći računa o ljudskim i kapitalnim resursima različitih ANSPa-a. Predlaže se uspostava sličnih blokova i u donjem zračnom prostoru, te konzistentnost takvih blokova sa FAB-ovima [</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pPr>
        <w:ind w:firstLine="360"/>
      </w:pPr>
      <w:r>
        <w:t xml:space="preserve">Legislativa SES I iz 2004. godine direktno se odnosi na FAB koncept i njegovu uspostavu i to uglavnom preko regulative o organizaciji i upotrebi zračnog prostora u SES-u. Prema navedenoj regulativi FAB-ovi trebaju ispunjavati sljedeće zahtjeve: </w:t>
      </w:r>
    </w:p>
    <w:p w:rsidR="001646BE" w:rsidRDefault="001646BE" w:rsidP="0031033C">
      <w:pPr>
        <w:pStyle w:val="ListParagraph"/>
        <w:numPr>
          <w:ilvl w:val="0"/>
          <w:numId w:val="20"/>
        </w:numPr>
        <w:spacing w:after="60"/>
        <w:ind w:left="1077" w:hanging="357"/>
      </w:pPr>
      <w:r>
        <w:lastRenderedPageBreak/>
        <w:t>biti poduprti sigurnosnim okvirom,</w:t>
      </w:r>
    </w:p>
    <w:p w:rsidR="001646BE" w:rsidRDefault="001646BE" w:rsidP="0031033C">
      <w:pPr>
        <w:pStyle w:val="ListParagraph"/>
        <w:numPr>
          <w:ilvl w:val="0"/>
          <w:numId w:val="20"/>
        </w:numPr>
        <w:spacing w:after="60"/>
        <w:ind w:left="1077" w:hanging="357"/>
      </w:pPr>
      <w:r>
        <w:t>osigurati optimalnu upotrebu zračnog prostora uzimajući u obzir tokove zračnog prometa,</w:t>
      </w:r>
    </w:p>
    <w:p w:rsidR="001646BE" w:rsidRDefault="001646BE" w:rsidP="0031033C">
      <w:pPr>
        <w:pStyle w:val="ListParagraph"/>
        <w:numPr>
          <w:ilvl w:val="0"/>
          <w:numId w:val="20"/>
        </w:numPr>
        <w:spacing w:after="60"/>
        <w:ind w:left="1077" w:hanging="357"/>
      </w:pPr>
      <w:r>
        <w:t>biti opravdani ukupnom vrijednošću koju će donijeti, uključujući optimalnu upotrebu tehničkih i ljudskih resursa, na bazi CBA</w:t>
      </w:r>
      <w:r>
        <w:rPr>
          <w:rStyle w:val="FootnoteReference"/>
        </w:rPr>
        <w:footnoteReference w:id="27"/>
      </w:r>
      <w:r>
        <w:t xml:space="preserve">  analize,</w:t>
      </w:r>
    </w:p>
    <w:p w:rsidR="001646BE" w:rsidRDefault="001646BE" w:rsidP="0031033C">
      <w:pPr>
        <w:pStyle w:val="ListParagraph"/>
        <w:numPr>
          <w:ilvl w:val="0"/>
          <w:numId w:val="20"/>
        </w:numPr>
        <w:spacing w:after="60"/>
        <w:ind w:left="1077" w:hanging="357"/>
      </w:pPr>
      <w:r>
        <w:t>osigurati tečan i fleksibilan prijenos odgovornosti između ATS jedinica,</w:t>
      </w:r>
    </w:p>
    <w:p w:rsidR="001646BE" w:rsidRDefault="001646BE" w:rsidP="0031033C">
      <w:pPr>
        <w:pStyle w:val="ListParagraph"/>
        <w:numPr>
          <w:ilvl w:val="0"/>
          <w:numId w:val="20"/>
        </w:numPr>
        <w:spacing w:after="60"/>
        <w:ind w:left="1077" w:hanging="357"/>
      </w:pPr>
      <w:r>
        <w:t>osigurati kompatibilnost između konfiguracije donjeg i gornjeg zračnog prostora,</w:t>
      </w:r>
    </w:p>
    <w:p w:rsidR="001646BE" w:rsidRDefault="001646BE" w:rsidP="0031033C">
      <w:pPr>
        <w:pStyle w:val="ListParagraph"/>
        <w:numPr>
          <w:ilvl w:val="0"/>
          <w:numId w:val="20"/>
        </w:numPr>
        <w:spacing w:after="60"/>
        <w:ind w:left="1077" w:hanging="357"/>
      </w:pPr>
      <w:r>
        <w:t>paziti na usklađenost sa zahtjevima koji proizlaze iz ICAO regionalnih sporazuma,</w:t>
      </w:r>
    </w:p>
    <w:p w:rsidR="001646BE" w:rsidRDefault="001646BE" w:rsidP="00893C47">
      <w:pPr>
        <w:pStyle w:val="ListParagraph"/>
        <w:numPr>
          <w:ilvl w:val="0"/>
          <w:numId w:val="20"/>
        </w:numPr>
      </w:pPr>
      <w:r>
        <w:t>poštovati regionalne sporazume koji su na snazi.</w:t>
      </w:r>
    </w:p>
    <w:p w:rsidR="001646BE" w:rsidRDefault="001646BE" w:rsidP="00893C47">
      <w:pPr>
        <w:ind w:firstLine="360"/>
      </w:pPr>
      <w:r>
        <w:t>Slika 4 prikazuje SES regulative koje direktno utječu na koncept FAB-ova.</w:t>
      </w:r>
    </w:p>
    <w:p w:rsidR="001646BE" w:rsidRDefault="00E02CBE" w:rsidP="00893C47">
      <w:pPr>
        <w:spacing w:after="0"/>
        <w:ind w:firstLine="360"/>
      </w:pPr>
      <w:r>
        <w:rPr>
          <w:noProof/>
          <w:lang w:eastAsia="hr-HR"/>
        </w:rPr>
        <w:drawing>
          <wp:inline distT="0" distB="0" distL="0" distR="0">
            <wp:extent cx="4991100" cy="2162175"/>
            <wp:effectExtent l="19050" t="0" r="0" b="0"/>
            <wp:docPr id="4" name="Objec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
                    <pic:cNvPicPr>
                      <a:picLocks noChangeArrowheads="1"/>
                    </pic:cNvPicPr>
                  </pic:nvPicPr>
                  <pic:blipFill>
                    <a:blip r:embed="rId12"/>
                    <a:srcRect/>
                    <a:stretch>
                      <a:fillRect/>
                    </a:stretch>
                  </pic:blipFill>
                  <pic:spPr bwMode="auto">
                    <a:xfrm>
                      <a:off x="0" y="0"/>
                      <a:ext cx="4991100" cy="2162175"/>
                    </a:xfrm>
                    <a:prstGeom prst="rect">
                      <a:avLst/>
                    </a:prstGeom>
                    <a:noFill/>
                    <a:ln w="9525">
                      <a:noFill/>
                      <a:miter lim="800000"/>
                      <a:headEnd/>
                      <a:tailEnd/>
                    </a:ln>
                  </pic:spPr>
                </pic:pic>
              </a:graphicData>
            </a:graphic>
          </wp:inline>
        </w:drawing>
      </w:r>
    </w:p>
    <w:p w:rsidR="001646BE" w:rsidRPr="00AD1E03" w:rsidRDefault="001646BE" w:rsidP="00893C47">
      <w:pPr>
        <w:spacing w:after="0"/>
        <w:ind w:firstLine="709"/>
        <w:rPr>
          <w:b/>
          <w:bCs/>
          <w:sz w:val="20"/>
          <w:szCs w:val="20"/>
        </w:rPr>
      </w:pPr>
      <w:r w:rsidRPr="00AD1E03">
        <w:rPr>
          <w:b/>
          <w:bCs/>
          <w:sz w:val="20"/>
          <w:szCs w:val="20"/>
        </w:rPr>
        <w:t>Slika 4: SES regulative sa direktnim utjecajem na FAB-ove.</w:t>
      </w:r>
    </w:p>
    <w:p w:rsidR="001646BE" w:rsidRDefault="001646BE" w:rsidP="00893C47">
      <w:pPr>
        <w:spacing w:after="0"/>
        <w:ind w:left="709"/>
        <w:rPr>
          <w:sz w:val="20"/>
          <w:szCs w:val="20"/>
        </w:rPr>
      </w:pPr>
      <w:r>
        <w:rPr>
          <w:sz w:val="20"/>
          <w:szCs w:val="20"/>
        </w:rPr>
        <w:t>Izvor: Performance Review Commision:“Evaluation of FAB initiatives and their contribution to performance improvement“, Eurocontrol 2008.</w:t>
      </w:r>
    </w:p>
    <w:p w:rsidR="001646BE" w:rsidRDefault="001646BE" w:rsidP="00893C47">
      <w:pPr>
        <w:spacing w:after="0"/>
        <w:ind w:left="709"/>
        <w:rPr>
          <w:sz w:val="20"/>
          <w:szCs w:val="20"/>
        </w:rPr>
      </w:pPr>
    </w:p>
    <w:p w:rsidR="001646BE" w:rsidRDefault="001646BE" w:rsidP="00893C47">
      <w:pPr>
        <w:ind w:firstLine="360"/>
      </w:pPr>
      <w:r>
        <w:t xml:space="preserve">Prema Eurocontrolovom izvješću iz 2005. poželjno bi bilo proširiti FAB-ove i na donji zračni prostor (ispod FL285), uključiti vojne organe u projekt, izraditi dokumente koji će djelovati kao upute i pomoć zemljama članicama pri uspostavi FAB-ova te izraditi principe raspodjele troškova i dobiti između zemalja članica pojedinog FAB-a. </w:t>
      </w:r>
    </w:p>
    <w:p w:rsidR="001646BE" w:rsidRDefault="001646BE" w:rsidP="00893C47">
      <w:pPr>
        <w:spacing w:after="0"/>
        <w:ind w:firstLine="360"/>
      </w:pPr>
      <w:r>
        <w:t xml:space="preserve">Radne grupe i izvješća iz 2006. godine na temu uspostave FAB inicijativa donose sljedeće zahtjeve: sigurnost treba predstavljati temelj prilikom dizajna FAB-ova, vojni organi trebaju biti uključeni od samog početka, FAB treba donositi prepoznatljiva poboljšanja i ispunjavati operativne zahtjeve, uspostava FAB treba se provoditi na razini ANSP-a, razini regulatora i </w:t>
      </w:r>
      <w:r>
        <w:lastRenderedPageBreak/>
        <w:t>razini zemalja članica te se trebaju donijeti sporazumi oko procedura, sigurnosti, odgovornosti, naplaćivanja usluga i sl. između zemalja članica i njihovih NSA-a.</w:t>
      </w:r>
    </w:p>
    <w:p w:rsidR="001646BE" w:rsidRDefault="001646BE" w:rsidP="00893C47">
      <w:pPr>
        <w:ind w:firstLine="360"/>
      </w:pPr>
      <w:r>
        <w:t xml:space="preserve">Predloženo je da se ciljevi uspostave FAB-ova jasnije definiraju i da se odrede indikatori koji će služiti za procjenu efikasnosti i poboljšanja koja FAB donosi. Problemi koji su detektirani odnose se na politiku „bottom-up“ koncepta uspostave FAB-ova, gdje je razvoj i implementacija prepuštena zemljama članicama, što može dovesti do pomanjkanja osjećaja obaveze i političke privrženosti ustroju FAB-ova. </w:t>
      </w:r>
    </w:p>
    <w:p w:rsidR="001646BE" w:rsidRDefault="001646BE" w:rsidP="00893C47">
      <w:pPr>
        <w:ind w:firstLine="360"/>
      </w:pPr>
      <w:r>
        <w:t>Izvješće EU Komisije i HLG-a iz 2007. godine potvrdilo je da su različiti FAB-ovi na različitim razinama razvoja i da su rezultati skromni što se tiče povećanja kapaciteta i smanjenja troškova, te da implementacija SES programa ide sporo. Problemi koji su tome razlog su sljedeći: raznoliko tumačenje definicije i svrhe FAB-ova, problem odgovornosti pri uspostavi prekograničnog ATM sustava, različite upravljačke strukture u različitim ANSP-ovima kao i različitosti između metoda upravljanja ljudskim resursima, te činjenica da dizajn novih ruta predstavlja kompleksan zadatak. Potrebno je razjasniti definiciju FAB-a, omogućiti razmjenjivanje informacija između FAB-ova te pojačati političku volju i privrženost projektu.</w:t>
      </w:r>
    </w:p>
    <w:p w:rsidR="001646BE" w:rsidRDefault="001646BE" w:rsidP="00893C47">
      <w:pPr>
        <w:spacing w:after="0"/>
        <w:ind w:firstLine="360"/>
      </w:pPr>
      <w:r>
        <w:t xml:space="preserve">Zaključci doneseni 2008. godine </w:t>
      </w:r>
      <w:r w:rsidR="004346EF">
        <w:t>regulativni</w:t>
      </w:r>
      <w:r>
        <w:t>m paketom SES II, a koji se odnose na uspostavu FAB-ova baziraju se na ispunjavanju tri temeljna zahtjeva:</w:t>
      </w:r>
    </w:p>
    <w:p w:rsidR="001646BE" w:rsidRDefault="001646BE" w:rsidP="00893C47">
      <w:pPr>
        <w:pStyle w:val="ListParagraph"/>
        <w:numPr>
          <w:ilvl w:val="0"/>
          <w:numId w:val="21"/>
        </w:numPr>
        <w:spacing w:after="0"/>
      </w:pPr>
      <w:r>
        <w:t>rok za implementaciju najkasnije do 2012. godine,</w:t>
      </w:r>
    </w:p>
    <w:p w:rsidR="001646BE" w:rsidRDefault="001646BE" w:rsidP="00893C47">
      <w:pPr>
        <w:pStyle w:val="ListParagraph"/>
        <w:numPr>
          <w:ilvl w:val="0"/>
          <w:numId w:val="21"/>
        </w:numPr>
        <w:spacing w:after="0"/>
      </w:pPr>
      <w:r>
        <w:t>proširenje FAB-ova na donji zračni prostor sve do aerodroma,</w:t>
      </w:r>
    </w:p>
    <w:p w:rsidR="001646BE" w:rsidRPr="00AC5B7D" w:rsidRDefault="001646BE" w:rsidP="00893C47">
      <w:pPr>
        <w:pStyle w:val="ListParagraph"/>
        <w:numPr>
          <w:ilvl w:val="0"/>
          <w:numId w:val="21"/>
        </w:numPr>
      </w:pPr>
      <w:r>
        <w:t>uklanjanje nacionalnih institucionalnih i pravnih prepreka [</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r>
        <w:t>Na slici 5 prikazano je stanje inicijativa za uspostavu FAB-ova iz srpnja 2008. godine.</w:t>
      </w:r>
    </w:p>
    <w:p w:rsidR="001646BE" w:rsidRDefault="00E02CBE" w:rsidP="00893C47">
      <w:pPr>
        <w:spacing w:after="0"/>
      </w:pPr>
      <w:r>
        <w:rPr>
          <w:noProof/>
          <w:lang w:eastAsia="hr-HR"/>
        </w:rPr>
        <w:drawing>
          <wp:inline distT="0" distB="0" distL="0" distR="0">
            <wp:extent cx="2952750" cy="2219325"/>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2952750" cy="2219325"/>
                    </a:xfrm>
                    <a:prstGeom prst="rect">
                      <a:avLst/>
                    </a:prstGeom>
                    <a:noFill/>
                    <a:ln w="9525">
                      <a:noFill/>
                      <a:miter lim="800000"/>
                      <a:headEnd/>
                      <a:tailEnd/>
                    </a:ln>
                  </pic:spPr>
                </pic:pic>
              </a:graphicData>
            </a:graphic>
          </wp:inline>
        </w:drawing>
      </w:r>
    </w:p>
    <w:p w:rsidR="001646BE" w:rsidRPr="00AD1E03" w:rsidRDefault="001646BE" w:rsidP="00893C47">
      <w:pPr>
        <w:spacing w:after="0"/>
        <w:rPr>
          <w:b/>
          <w:bCs/>
          <w:sz w:val="20"/>
          <w:szCs w:val="20"/>
        </w:rPr>
      </w:pPr>
      <w:r>
        <w:rPr>
          <w:b/>
          <w:bCs/>
          <w:sz w:val="20"/>
          <w:szCs w:val="20"/>
        </w:rPr>
        <w:t>Slika 5</w:t>
      </w:r>
      <w:r w:rsidRPr="00AD1E03">
        <w:rPr>
          <w:b/>
          <w:bCs/>
          <w:sz w:val="20"/>
          <w:szCs w:val="20"/>
        </w:rPr>
        <w:t>: FAB inicijative iz 2008. godine.</w:t>
      </w:r>
    </w:p>
    <w:p w:rsidR="001646BE" w:rsidRPr="00AC5B7D" w:rsidRDefault="001646BE" w:rsidP="00893C47">
      <w:pPr>
        <w:spacing w:after="0"/>
        <w:rPr>
          <w:sz w:val="18"/>
          <w:szCs w:val="18"/>
        </w:rPr>
      </w:pPr>
      <w:r w:rsidRPr="00DE7615">
        <w:rPr>
          <w:sz w:val="18"/>
          <w:szCs w:val="18"/>
        </w:rPr>
        <w:t>Izvor: www.akl.tu-darmstadt.de (SES - Towards a better, more sustainable and safer a</w:t>
      </w:r>
      <w:r>
        <w:rPr>
          <w:sz w:val="18"/>
          <w:szCs w:val="18"/>
        </w:rPr>
        <w:t>viation system, Darmstadt 2009.)</w:t>
      </w:r>
    </w:p>
    <w:p w:rsidR="001646BE" w:rsidRDefault="001646BE" w:rsidP="00893C47">
      <w:pPr>
        <w:pStyle w:val="Heading2"/>
        <w:ind w:left="705" w:hanging="705"/>
      </w:pPr>
      <w:bookmarkStart w:id="31" w:name="_Toc296339020"/>
      <w:r>
        <w:lastRenderedPageBreak/>
        <w:t>3.2</w:t>
      </w:r>
      <w:r>
        <w:tab/>
        <w:t>VALORIZACIJA FUNKCIONALNIH BLOKOVA ZRAČNOG PROSTORA</w:t>
      </w:r>
      <w:bookmarkEnd w:id="31"/>
    </w:p>
    <w:p w:rsidR="001646BE" w:rsidRDefault="001646BE" w:rsidP="00893C47"/>
    <w:p w:rsidR="001646BE" w:rsidRDefault="001646BE" w:rsidP="00893C47">
      <w:pPr>
        <w:ind w:firstLine="360"/>
      </w:pPr>
      <w:r>
        <w:t>SES regulativa zahtijeva uspostavu FAB-ova barem u gornjem zračnom prostoru na području Europe i ICAO AFI</w:t>
      </w:r>
      <w:r>
        <w:rPr>
          <w:rStyle w:val="FootnoteReference"/>
        </w:rPr>
        <w:footnoteReference w:id="28"/>
      </w:r>
      <w:r>
        <w:t xml:space="preserve"> regije. Trenutno postoji devet inicijativa uspostave FAB-ova:</w:t>
      </w:r>
    </w:p>
    <w:p w:rsidR="001646BE" w:rsidRDefault="001646BE" w:rsidP="00B95840">
      <w:pPr>
        <w:pStyle w:val="ListParagraph"/>
        <w:numPr>
          <w:ilvl w:val="0"/>
          <w:numId w:val="22"/>
        </w:numPr>
        <w:spacing w:after="0"/>
      </w:pPr>
      <w:r>
        <w:t>FAB Baltic - Poljska, Litva,</w:t>
      </w:r>
    </w:p>
    <w:p w:rsidR="001646BE" w:rsidRDefault="001646BE" w:rsidP="00B95840">
      <w:pPr>
        <w:pStyle w:val="ListParagraph"/>
        <w:numPr>
          <w:ilvl w:val="0"/>
          <w:numId w:val="22"/>
        </w:numPr>
        <w:spacing w:after="0"/>
      </w:pPr>
      <w:r>
        <w:t>FAB Blue Med - Italija, Grčka, Cipar, Malta (Tunis, Egipat i Albanija kao partneri te Jordan kao promatrač),</w:t>
      </w:r>
    </w:p>
    <w:p w:rsidR="001646BE" w:rsidRDefault="001646BE" w:rsidP="00B95840">
      <w:pPr>
        <w:pStyle w:val="ListParagraph"/>
        <w:numPr>
          <w:ilvl w:val="0"/>
          <w:numId w:val="22"/>
        </w:numPr>
        <w:spacing w:after="0"/>
      </w:pPr>
      <w:r>
        <w:t>FAB Danube - Bugarska, Rumunjska,</w:t>
      </w:r>
    </w:p>
    <w:p w:rsidR="001646BE" w:rsidRDefault="001646BE" w:rsidP="00B95840">
      <w:pPr>
        <w:pStyle w:val="ListParagraph"/>
        <w:numPr>
          <w:ilvl w:val="0"/>
          <w:numId w:val="22"/>
        </w:numPr>
        <w:spacing w:after="0"/>
      </w:pPr>
      <w:r>
        <w:t>FAB Central Europe - Austrija, Češka, Hrvatska, Mađarska, Slovačka, Slovenija, BiH,</w:t>
      </w:r>
    </w:p>
    <w:p w:rsidR="001646BE" w:rsidRDefault="001646BE" w:rsidP="00B95840">
      <w:pPr>
        <w:pStyle w:val="ListParagraph"/>
        <w:numPr>
          <w:ilvl w:val="0"/>
          <w:numId w:val="22"/>
        </w:numPr>
        <w:spacing w:after="0"/>
      </w:pPr>
      <w:r>
        <w:t>FAB Europe Central - Francuska, Njemačka, Švicarska, Belgija, Nizozemska, Luksemburg i UK kao partner,</w:t>
      </w:r>
    </w:p>
    <w:p w:rsidR="001646BE" w:rsidRDefault="001646BE" w:rsidP="00B95840">
      <w:pPr>
        <w:pStyle w:val="ListParagraph"/>
        <w:numPr>
          <w:ilvl w:val="0"/>
          <w:numId w:val="22"/>
        </w:numPr>
        <w:spacing w:after="0"/>
      </w:pPr>
      <w:r>
        <w:t>FAB NUAC - Danska, Švedska,</w:t>
      </w:r>
    </w:p>
    <w:p w:rsidR="001646BE" w:rsidRDefault="001646BE" w:rsidP="00B95840">
      <w:pPr>
        <w:pStyle w:val="ListParagraph"/>
        <w:numPr>
          <w:ilvl w:val="0"/>
          <w:numId w:val="22"/>
        </w:numPr>
        <w:spacing w:after="0"/>
      </w:pPr>
      <w:r>
        <w:t>FAB NEFAB - Norveška, Finska, Estonija, Island, Danska, Švedska,</w:t>
      </w:r>
    </w:p>
    <w:p w:rsidR="001646BE" w:rsidRDefault="001646BE" w:rsidP="00B95840">
      <w:pPr>
        <w:pStyle w:val="ListParagraph"/>
        <w:numPr>
          <w:ilvl w:val="0"/>
          <w:numId w:val="22"/>
        </w:numPr>
        <w:spacing w:after="0"/>
      </w:pPr>
      <w:r>
        <w:t>FAB SW Portugal-Spain - Španjolska, Portugal,</w:t>
      </w:r>
    </w:p>
    <w:p w:rsidR="001646BE" w:rsidRDefault="001646BE" w:rsidP="00B95840">
      <w:pPr>
        <w:pStyle w:val="ListParagraph"/>
        <w:numPr>
          <w:ilvl w:val="0"/>
          <w:numId w:val="22"/>
        </w:numPr>
        <w:spacing w:after="0"/>
      </w:pPr>
      <w:r>
        <w:t>FAB UK-Ireland - UK, Irska.</w:t>
      </w:r>
    </w:p>
    <w:p w:rsidR="001646BE" w:rsidRDefault="001646BE" w:rsidP="00B95840">
      <w:pPr>
        <w:pStyle w:val="ListParagraph"/>
        <w:spacing w:after="0"/>
      </w:pPr>
    </w:p>
    <w:p w:rsidR="001646BE" w:rsidRDefault="001646BE" w:rsidP="00893C47">
      <w:pPr>
        <w:ind w:firstLine="360"/>
      </w:pPr>
      <w:r>
        <w:t>Veličina FAB inicijativa znatno varira pa je najveća FAB inicijativa, ovisno o parametru komparacije, veća i do nekoliko desetaka puta od najmanje FAB inicijative. FAB EC je najveća inicijativa po svim parametrima komparacije, osim po parametru kontrolirane površine, gdje je FAB NEFAB najveća inicijativa. Funkcionalni blok zračnog prostora Baltic i Danube najmanje su inicijative dok FAB-ovi SW Portugal-Spain i NEFAB pokrivaju značajan dio oceanskog zračnog prostora.</w:t>
      </w:r>
    </w:p>
    <w:p w:rsidR="001646BE" w:rsidRDefault="001646BE" w:rsidP="00893C47">
      <w:pPr>
        <w:ind w:firstLine="360"/>
      </w:pPr>
      <w:r>
        <w:t>Jedan od problema jest postojanje nekoliko zemalja s europskog tla koje nisu članice niti jedne FAB inicijative. Navedene zemlje su Latvija, Srbija, Crna Gora i Makedonija. Srbija, Crna Gora i Makedonija potpisnice su ISIS projekta, koji ima za cilj implementirati SES program u jugoistočnoj Europi [</w:t>
      </w:r>
      <w:r w:rsidR="004D5F73">
        <w:fldChar w:fldCharType="begin"/>
      </w:r>
      <w:r>
        <w:instrText xml:space="preserve"> REF _Ref296006029 \r \h </w:instrText>
      </w:r>
      <w:r w:rsidR="004D5F73">
        <w:fldChar w:fldCharType="separate"/>
      </w:r>
      <w:r w:rsidR="00031686">
        <w:t>17</w:t>
      </w:r>
      <w:r w:rsidR="004D5F73">
        <w:fldChar w:fldCharType="end"/>
      </w:r>
      <w:r>
        <w:t>].</w:t>
      </w:r>
    </w:p>
    <w:p w:rsidR="00B95840" w:rsidRDefault="00B95840" w:rsidP="00893C47">
      <w:pPr>
        <w:ind w:firstLine="360"/>
      </w:pPr>
    </w:p>
    <w:p w:rsidR="00B95840" w:rsidRDefault="00B95840" w:rsidP="00893C47">
      <w:pPr>
        <w:ind w:firstLine="360"/>
      </w:pPr>
    </w:p>
    <w:p w:rsidR="001646BE" w:rsidRDefault="001646BE" w:rsidP="00893C47">
      <w:pPr>
        <w:rPr>
          <w:b/>
          <w:bCs/>
        </w:rPr>
      </w:pPr>
      <w:r>
        <w:rPr>
          <w:b/>
          <w:bCs/>
        </w:rPr>
        <w:lastRenderedPageBreak/>
        <w:t>FAB BALTIC</w:t>
      </w:r>
    </w:p>
    <w:p w:rsidR="001646BE" w:rsidRPr="00DA5055" w:rsidRDefault="001646BE" w:rsidP="00893C47">
      <w:pPr>
        <w:ind w:firstLine="360"/>
      </w:pPr>
      <w:r>
        <w:t>Funkcionalni blok zračnog prostora Baltic sastoji se od dvije zemlje članice - Poljske i Litve. Osim navedene dvije članice, Latvija je također bila dio inicijalnog programa, međutim trenutno nije uključena u FAB inicijativu. Najveća zapreka uspostavi FAB-a nalazi se u činjenici da se između Poljske i Litve nalazi regija Ruske federacije Kaljingrad, čime se fizička granica između dvije članice FAB-a smanjuje na neznatnih 69 km. Ukoliko bi se i Kaljingrad uključio u FAB inicijativu, što je političko pitanje, ostvarili bi se značajno veći rezultati i poboljšanja u svakom pogledu. Glavni prometni pravci prostiru se na potezu jugozapad-sjeveroistok, između zapadne Njemačke preko FAB-a do Bjelorusije. Slika 6 prikazuje FAB Baltic s glavnim prometnim tokovima.</w:t>
      </w:r>
    </w:p>
    <w:p w:rsidR="001646BE" w:rsidRDefault="00E02CBE" w:rsidP="00893C47">
      <w:pPr>
        <w:spacing w:after="0"/>
        <w:ind w:firstLine="360"/>
        <w:rPr>
          <w:b/>
          <w:bCs/>
        </w:rPr>
      </w:pPr>
      <w:r>
        <w:rPr>
          <w:b/>
          <w:bCs/>
          <w:noProof/>
          <w:lang w:eastAsia="hr-HR"/>
        </w:rPr>
        <w:drawing>
          <wp:inline distT="0" distB="0" distL="0" distR="0">
            <wp:extent cx="4352925" cy="3267075"/>
            <wp:effectExtent l="1905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4352925" cy="3267075"/>
                    </a:xfrm>
                    <a:prstGeom prst="rect">
                      <a:avLst/>
                    </a:prstGeom>
                    <a:noFill/>
                    <a:ln w="9525">
                      <a:noFill/>
                      <a:miter lim="800000"/>
                      <a:headEnd/>
                      <a:tailEnd/>
                    </a:ln>
                  </pic:spPr>
                </pic:pic>
              </a:graphicData>
            </a:graphic>
          </wp:inline>
        </w:drawing>
      </w:r>
    </w:p>
    <w:p w:rsidR="001646BE" w:rsidRPr="00476AE5" w:rsidRDefault="001646BE" w:rsidP="00893C47">
      <w:pPr>
        <w:spacing w:after="0"/>
        <w:ind w:firstLine="360"/>
        <w:rPr>
          <w:b/>
          <w:bCs/>
        </w:rPr>
      </w:pPr>
      <w:r>
        <w:rPr>
          <w:b/>
          <w:bCs/>
          <w:sz w:val="20"/>
          <w:szCs w:val="20"/>
        </w:rPr>
        <w:t>Slika 6</w:t>
      </w:r>
      <w:r w:rsidRPr="00476AE5">
        <w:rPr>
          <w:b/>
          <w:bCs/>
          <w:sz w:val="20"/>
          <w:szCs w:val="20"/>
        </w:rPr>
        <w:t>: FAB „Baltic“ i njegovi glavni prometni tokovi.</w:t>
      </w:r>
    </w:p>
    <w:p w:rsidR="001646BE" w:rsidRDefault="001646BE" w:rsidP="00893C47">
      <w:pPr>
        <w:spacing w:after="0"/>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line="240" w:lineRule="auto"/>
        <w:ind w:left="360"/>
        <w:rPr>
          <w:sz w:val="20"/>
          <w:szCs w:val="20"/>
        </w:rPr>
      </w:pPr>
    </w:p>
    <w:p w:rsidR="007E4ADD" w:rsidRDefault="001646BE" w:rsidP="007E4ADD">
      <w:pPr>
        <w:ind w:firstLine="360"/>
      </w:pPr>
      <w:r>
        <w:t>Ustroj FAB-a znatno olakšava činjenica da ANSP-i Poljske i Litve već sada blisko surađuju i koriste gotovo identične procedure i operativne koncepte. Značajna poboljšanja i efikasnost postigla bi se uključivanjem Kaljingrada u FAB inicijativu. Bez uključivanja Kaljingrada upitno je hoće li eventualna poboljšanja nastala uspostavom FAB-a opravdati troškove i vrijeme potrošeno na razvoj i implementaciju. Opći podaci o FAB-u Baltic prezentirani su  u tablici 2.</w:t>
      </w:r>
    </w:p>
    <w:p w:rsidR="007E4ADD" w:rsidRDefault="007E4ADD" w:rsidP="00893C47">
      <w:pPr>
        <w:spacing w:after="0" w:line="240" w:lineRule="auto"/>
        <w:rPr>
          <w:b/>
          <w:bCs/>
          <w:sz w:val="20"/>
          <w:szCs w:val="20"/>
        </w:rPr>
      </w:pPr>
    </w:p>
    <w:p w:rsidR="001646BE" w:rsidRPr="00F553C9" w:rsidRDefault="001646BE" w:rsidP="00893C47">
      <w:pPr>
        <w:spacing w:after="0" w:line="240" w:lineRule="auto"/>
        <w:rPr>
          <w:b/>
          <w:bCs/>
          <w:sz w:val="20"/>
          <w:szCs w:val="20"/>
        </w:rPr>
      </w:pPr>
      <w:r w:rsidRPr="00F553C9">
        <w:rPr>
          <w:b/>
          <w:bCs/>
          <w:sz w:val="20"/>
          <w:szCs w:val="20"/>
        </w:rPr>
        <w:lastRenderedPageBreak/>
        <w:t xml:space="preserve">Tablica </w:t>
      </w:r>
      <w:r>
        <w:rPr>
          <w:b/>
          <w:bCs/>
          <w:sz w:val="20"/>
          <w:szCs w:val="20"/>
        </w:rPr>
        <w:t xml:space="preserve">2: </w:t>
      </w:r>
      <w:r w:rsidRPr="00F553C9">
        <w:rPr>
          <w:b/>
          <w:bCs/>
          <w:sz w:val="20"/>
          <w:szCs w:val="20"/>
        </w:rPr>
        <w:t>opći podaci o FAB-u Baltic</w:t>
      </w:r>
    </w:p>
    <w:tbl>
      <w:tblPr>
        <w:tblW w:w="91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7"/>
        <w:gridCol w:w="1158"/>
        <w:gridCol w:w="682"/>
        <w:gridCol w:w="1019"/>
        <w:gridCol w:w="892"/>
        <w:gridCol w:w="801"/>
        <w:gridCol w:w="1138"/>
        <w:gridCol w:w="1041"/>
        <w:gridCol w:w="1094"/>
      </w:tblGrid>
      <w:tr w:rsidR="001646BE" w:rsidRPr="003A4F00">
        <w:trPr>
          <w:trHeight w:val="1260"/>
        </w:trPr>
        <w:tc>
          <w:tcPr>
            <w:tcW w:w="1357" w:type="dxa"/>
            <w:vAlign w:val="center"/>
          </w:tcPr>
          <w:p w:rsidR="001646BE" w:rsidRPr="003A4F00" w:rsidRDefault="001646BE" w:rsidP="003A4F00">
            <w:pPr>
              <w:spacing w:after="0" w:line="240" w:lineRule="auto"/>
              <w:jc w:val="center"/>
              <w:rPr>
                <w:b/>
                <w:bCs/>
                <w:color w:val="000000"/>
                <w:sz w:val="20"/>
                <w:szCs w:val="20"/>
              </w:rPr>
            </w:pPr>
          </w:p>
        </w:tc>
        <w:tc>
          <w:tcPr>
            <w:tcW w:w="115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VELIČINA ZRAČNOG PROSTORA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(000km²)</w:t>
            </w:r>
          </w:p>
        </w:tc>
        <w:tc>
          <w:tcPr>
            <w:tcW w:w="68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SATI LETA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(mil)</w:t>
            </w:r>
          </w:p>
        </w:tc>
        <w:tc>
          <w:tcPr>
            <w:tcW w:w="1019"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(mlrd  EUR)</w:t>
            </w:r>
          </w:p>
        </w:tc>
        <w:tc>
          <w:tcPr>
            <w:tcW w:w="89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SEKTORI</w:t>
            </w:r>
          </w:p>
        </w:tc>
        <w:tc>
          <w:tcPr>
            <w:tcW w:w="80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BROJ ACC-a</w:t>
            </w:r>
          </w:p>
        </w:tc>
        <w:tc>
          <w:tcPr>
            <w:tcW w:w="113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ATFM KAŠNJENJE</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(min  / satu leta)</w:t>
            </w:r>
          </w:p>
        </w:tc>
        <w:tc>
          <w:tcPr>
            <w:tcW w:w="104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ATCO</w:t>
            </w:r>
            <w:r w:rsidRPr="003A4F00">
              <w:rPr>
                <w:rStyle w:val="FootnoteReference"/>
                <w:color w:val="000000"/>
                <w:sz w:val="16"/>
                <w:szCs w:val="16"/>
              </w:rPr>
              <w:footnoteReference w:id="29"/>
            </w:r>
            <w:r w:rsidRPr="003A4F00">
              <w:rPr>
                <w:color w:val="000000"/>
                <w:sz w:val="16"/>
                <w:szCs w:val="16"/>
              </w:rPr>
              <w:t xml:space="preserve">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c>
          <w:tcPr>
            <w:tcW w:w="1094"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 PRUŽANJA USLUGA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r>
      <w:tr w:rsidR="001646BE" w:rsidRPr="003A4F00">
        <w:trPr>
          <w:trHeight w:val="378"/>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FAB</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409</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0,4</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0,1</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10</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1,48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64</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258</w:t>
            </w:r>
          </w:p>
        </w:tc>
      </w:tr>
      <w:tr w:rsidR="001646BE" w:rsidRPr="003A4F00">
        <w:trPr>
          <w:trHeight w:val="393"/>
        </w:trPr>
        <w:tc>
          <w:tcPr>
            <w:tcW w:w="1357" w:type="dxa"/>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tc>
        <w:tc>
          <w:tcPr>
            <w:tcW w:w="1158" w:type="dxa"/>
            <w:vAlign w:val="center"/>
          </w:tcPr>
          <w:p w:rsidR="001646BE" w:rsidRPr="003A4F00" w:rsidRDefault="00EA745D" w:rsidP="003A4F00">
            <w:pPr>
              <w:spacing w:after="0" w:line="240" w:lineRule="auto"/>
              <w:jc w:val="center"/>
              <w:rPr>
                <w:color w:val="000000"/>
              </w:rPr>
            </w:pPr>
            <w:r>
              <w:rPr>
                <w:color w:val="000000"/>
                <w:sz w:val="22"/>
                <w:szCs w:val="22"/>
              </w:rPr>
              <w:t>17.</w:t>
            </w:r>
            <w:r w:rsidR="001646BE" w:rsidRPr="003A4F00">
              <w:rPr>
                <w:color w:val="000000"/>
                <w:sz w:val="22"/>
                <w:szCs w:val="22"/>
              </w:rPr>
              <w:t>483</w:t>
            </w:r>
          </w:p>
        </w:tc>
        <w:tc>
          <w:tcPr>
            <w:tcW w:w="682" w:type="dxa"/>
            <w:vAlign w:val="center"/>
          </w:tcPr>
          <w:p w:rsidR="001646BE" w:rsidRPr="003A4F00" w:rsidRDefault="001646BE" w:rsidP="003A4F00">
            <w:pPr>
              <w:spacing w:after="0" w:line="240" w:lineRule="auto"/>
              <w:jc w:val="center"/>
              <w:rPr>
                <w:color w:val="000000"/>
              </w:rPr>
            </w:pPr>
            <w:r w:rsidRPr="003A4F00">
              <w:rPr>
                <w:color w:val="000000"/>
                <w:sz w:val="22"/>
                <w:szCs w:val="22"/>
              </w:rPr>
              <w:t>16,4</w:t>
            </w:r>
          </w:p>
        </w:tc>
        <w:tc>
          <w:tcPr>
            <w:tcW w:w="1019" w:type="dxa"/>
            <w:vAlign w:val="center"/>
          </w:tcPr>
          <w:p w:rsidR="001646BE" w:rsidRPr="003A4F00" w:rsidRDefault="001646BE" w:rsidP="003A4F00">
            <w:pPr>
              <w:spacing w:after="0" w:line="240" w:lineRule="auto"/>
              <w:jc w:val="center"/>
              <w:rPr>
                <w:color w:val="000000"/>
              </w:rPr>
            </w:pPr>
            <w:r w:rsidRPr="003A4F00">
              <w:rPr>
                <w:color w:val="000000"/>
                <w:sz w:val="22"/>
                <w:szCs w:val="22"/>
              </w:rPr>
              <w:t>6,5</w:t>
            </w:r>
          </w:p>
        </w:tc>
        <w:tc>
          <w:tcPr>
            <w:tcW w:w="892" w:type="dxa"/>
            <w:vAlign w:val="center"/>
          </w:tcPr>
          <w:p w:rsidR="001646BE" w:rsidRPr="003A4F00" w:rsidRDefault="001646BE" w:rsidP="003A4F00">
            <w:pPr>
              <w:spacing w:after="0" w:line="240" w:lineRule="auto"/>
              <w:jc w:val="center"/>
              <w:rPr>
                <w:color w:val="000000"/>
              </w:rPr>
            </w:pPr>
            <w:r w:rsidRPr="003A4F00">
              <w:rPr>
                <w:color w:val="000000"/>
                <w:sz w:val="22"/>
                <w:szCs w:val="22"/>
              </w:rPr>
              <w:t>622</w:t>
            </w:r>
          </w:p>
        </w:tc>
        <w:tc>
          <w:tcPr>
            <w:tcW w:w="801" w:type="dxa"/>
            <w:vAlign w:val="center"/>
          </w:tcPr>
          <w:p w:rsidR="001646BE" w:rsidRPr="003A4F00" w:rsidRDefault="001646BE" w:rsidP="003A4F00">
            <w:pPr>
              <w:spacing w:after="0" w:line="240" w:lineRule="auto"/>
              <w:jc w:val="center"/>
              <w:rPr>
                <w:color w:val="000000"/>
              </w:rPr>
            </w:pPr>
            <w:r w:rsidRPr="003A4F00">
              <w:rPr>
                <w:color w:val="000000"/>
                <w:sz w:val="22"/>
                <w:szCs w:val="22"/>
              </w:rPr>
              <w:t>59</w:t>
            </w:r>
          </w:p>
        </w:tc>
        <w:tc>
          <w:tcPr>
            <w:tcW w:w="1138"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41"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94"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r>
      <w:tr w:rsidR="001646BE" w:rsidRPr="003A4F00">
        <w:trPr>
          <w:trHeight w:val="481"/>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p w:rsidR="001646BE" w:rsidRPr="003A4F00" w:rsidRDefault="001646BE" w:rsidP="003A4F00">
            <w:pPr>
              <w:spacing w:after="0" w:line="240" w:lineRule="auto"/>
              <w:jc w:val="center"/>
              <w:rPr>
                <w:b/>
                <w:bCs/>
                <w:color w:val="000000"/>
                <w:sz w:val="20"/>
                <w:szCs w:val="20"/>
              </w:rPr>
            </w:pPr>
            <w:r w:rsidRPr="003A4F00">
              <w:rPr>
                <w:color w:val="000000"/>
                <w:sz w:val="20"/>
                <w:szCs w:val="20"/>
              </w:rPr>
              <w:t>PROSJEK</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bl>
    <w:p w:rsidR="001646BE" w:rsidRPr="00265B76" w:rsidRDefault="001646BE" w:rsidP="00893C47">
      <w:pPr>
        <w:rPr>
          <w:sz w:val="20"/>
          <w:szCs w:val="20"/>
        </w:rPr>
      </w:pPr>
      <w:r w:rsidRPr="00E2031E">
        <w:rPr>
          <w:sz w:val="20"/>
          <w:szCs w:val="20"/>
        </w:rPr>
        <w:t>Izvor: Performance Review Com</w:t>
      </w:r>
      <w:r>
        <w:rPr>
          <w:sz w:val="20"/>
          <w:szCs w:val="20"/>
        </w:rPr>
        <w:t>m</w:t>
      </w:r>
      <w:r w:rsidRPr="00E2031E">
        <w:rPr>
          <w:sz w:val="20"/>
          <w:szCs w:val="20"/>
        </w:rPr>
        <w:t>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ind w:firstLine="360"/>
      </w:pPr>
      <w:r>
        <w:t>Promjene koje uspostava FAB-a donosi, a koje se tiču konfiguracije zračnog prostora, civilno-vojne suradnje, dizajna ruta i sektora, sigurnosti, naplate usluga, ATM sustava i obuke zaposlenih, prikazane su grafikonom 1. Operiranje i upravljanje FAB-om tijekom faze razvoja te metode postizanja željenih ciljeva, u pogledu kooperacije s ostalim FAB-ovima, procesa donošenja odluka, socijalnog dijaloga, uključenosti država i korisnika zračnog prostora, prikazano je na grafikonu 2.</w:t>
      </w:r>
    </w:p>
    <w:p w:rsidR="001646BE" w:rsidRDefault="00E02CBE" w:rsidP="00893C47">
      <w:pPr>
        <w:spacing w:after="0"/>
      </w:pPr>
      <w:r>
        <w:rPr>
          <w:noProof/>
          <w:lang w:eastAsia="hr-HR"/>
        </w:rPr>
        <w:drawing>
          <wp:inline distT="0" distB="0" distL="0" distR="0">
            <wp:extent cx="2790825" cy="2266950"/>
            <wp:effectExtent l="19050" t="0" r="9525" b="0"/>
            <wp:docPr id="7" name="Objec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15"/>
                    <a:srcRect t="-249" r="-23" b="-415"/>
                    <a:stretch>
                      <a:fillRect/>
                    </a:stretch>
                  </pic:blipFill>
                  <pic:spPr bwMode="auto">
                    <a:xfrm>
                      <a:off x="0" y="0"/>
                      <a:ext cx="2790825" cy="2266950"/>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362200" cy="2076450"/>
            <wp:effectExtent l="0" t="0" r="0" b="0"/>
            <wp:docPr id="8" name="Object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4"/>
                    <pic:cNvPicPr>
                      <a:picLocks noChangeArrowheads="1"/>
                    </pic:cNvPicPr>
                  </pic:nvPicPr>
                  <pic:blipFill>
                    <a:blip r:embed="rId16"/>
                    <a:srcRect/>
                    <a:stretch>
                      <a:fillRect/>
                    </a:stretch>
                  </pic:blipFill>
                  <pic:spPr bwMode="auto">
                    <a:xfrm>
                      <a:off x="0" y="0"/>
                      <a:ext cx="2362200" cy="2076450"/>
                    </a:xfrm>
                    <a:prstGeom prst="rect">
                      <a:avLst/>
                    </a:prstGeom>
                    <a:noFill/>
                    <a:ln w="9525">
                      <a:noFill/>
                      <a:miter lim="800000"/>
                      <a:headEnd/>
                      <a:tailEnd/>
                    </a:ln>
                  </pic:spPr>
                </pic:pic>
              </a:graphicData>
            </a:graphic>
          </wp:inline>
        </w:drawing>
      </w:r>
      <w:r w:rsidR="001646BE" w:rsidRPr="00325EDF">
        <w:t xml:space="preserve"> </w:t>
      </w:r>
      <w:r w:rsidR="001646BE">
        <w:t xml:space="preserve">     </w:t>
      </w:r>
    </w:p>
    <w:p w:rsidR="001646BE" w:rsidRPr="00E1499F" w:rsidRDefault="001646BE" w:rsidP="00893C47">
      <w:pPr>
        <w:spacing w:after="0"/>
        <w:rPr>
          <w:b/>
          <w:bCs/>
          <w:sz w:val="20"/>
          <w:szCs w:val="20"/>
        </w:rPr>
      </w:pPr>
      <w:r>
        <w:rPr>
          <w:b/>
          <w:bCs/>
          <w:sz w:val="20"/>
          <w:szCs w:val="20"/>
        </w:rPr>
        <w:t xml:space="preserve">Grafikon 1: </w:t>
      </w:r>
      <w:r w:rsidRPr="00E1499F">
        <w:rPr>
          <w:b/>
          <w:bCs/>
          <w:sz w:val="20"/>
          <w:szCs w:val="20"/>
        </w:rPr>
        <w:t>promjene nastale uspostavom FAB-a.</w:t>
      </w:r>
      <w:r>
        <w:rPr>
          <w:b/>
          <w:bCs/>
          <w:sz w:val="20"/>
          <w:szCs w:val="20"/>
        </w:rPr>
        <w:tab/>
        <w:t xml:space="preserve">Grafikon 2: </w:t>
      </w:r>
      <w:r w:rsidRPr="00E1499F">
        <w:rPr>
          <w:b/>
          <w:bCs/>
          <w:sz w:val="20"/>
          <w:szCs w:val="20"/>
        </w:rPr>
        <w:t>upravljanje FAB-om u fazi razvoja.</w:t>
      </w:r>
    </w:p>
    <w:p w:rsidR="001646BE" w:rsidRDefault="001646BE" w:rsidP="00893C47">
      <w:pPr>
        <w:spacing w:after="0"/>
        <w:rPr>
          <w:sz w:val="20"/>
          <w:szCs w:val="20"/>
        </w:rPr>
      </w:pPr>
      <w:r>
        <w:rPr>
          <w:sz w:val="20"/>
          <w:szCs w:val="20"/>
        </w:rPr>
        <w:t xml:space="preserve">Izvor: </w:t>
      </w:r>
      <w:r w:rsidRPr="00E2031E">
        <w:rPr>
          <w:sz w:val="20"/>
          <w:szCs w:val="20"/>
        </w:rPr>
        <w:t>Performance Review Comision:</w:t>
      </w:r>
      <w:r>
        <w:rPr>
          <w:sz w:val="20"/>
          <w:szCs w:val="20"/>
        </w:rPr>
        <w:t xml:space="preserve"> </w:t>
      </w:r>
      <w:r w:rsidRPr="00E2031E">
        <w:rPr>
          <w:sz w:val="20"/>
          <w:szCs w:val="20"/>
        </w:rPr>
        <w:t>“Evaluation of FAB initiatives and their contribution to performance improvement“, Eurocontrol 2008.</w:t>
      </w:r>
    </w:p>
    <w:p w:rsidR="001646BE" w:rsidRPr="00E2031E" w:rsidRDefault="001646BE" w:rsidP="00893C47">
      <w:pPr>
        <w:spacing w:after="0" w:line="240" w:lineRule="auto"/>
        <w:rPr>
          <w:sz w:val="20"/>
          <w:szCs w:val="20"/>
        </w:rPr>
      </w:pPr>
    </w:p>
    <w:p w:rsidR="001646BE" w:rsidRDefault="001646BE" w:rsidP="00893C47">
      <w:pPr>
        <w:ind w:firstLine="360"/>
      </w:pPr>
      <w:r>
        <w:t>Što se tiče vremenskog okvira razvoja, implementacija FAB-a Baltic očekuje se u razdoblju između 2012.-2013. godine [</w:t>
      </w:r>
      <w:r w:rsidR="004D5F73">
        <w:fldChar w:fldCharType="begin"/>
      </w:r>
      <w:r>
        <w:instrText xml:space="preserve"> REF _Ref296006029 \r \h </w:instrText>
      </w:r>
      <w:r w:rsidR="004D5F73">
        <w:fldChar w:fldCharType="separate"/>
      </w:r>
      <w:r w:rsidR="00031686">
        <w:t>17</w:t>
      </w:r>
      <w:r w:rsidR="004D5F73">
        <w:fldChar w:fldCharType="end"/>
      </w:r>
      <w:r>
        <w:t>].</w:t>
      </w:r>
    </w:p>
    <w:p w:rsidR="00B95840" w:rsidRDefault="00B95840" w:rsidP="00893C47">
      <w:pPr>
        <w:ind w:firstLine="360"/>
      </w:pPr>
    </w:p>
    <w:p w:rsidR="00B95840" w:rsidRDefault="00B95840" w:rsidP="00893C47">
      <w:pPr>
        <w:ind w:firstLine="360"/>
      </w:pPr>
    </w:p>
    <w:p w:rsidR="001646BE" w:rsidRDefault="001646BE" w:rsidP="00893C47">
      <w:pPr>
        <w:rPr>
          <w:b/>
          <w:bCs/>
        </w:rPr>
      </w:pPr>
      <w:r>
        <w:rPr>
          <w:b/>
          <w:bCs/>
        </w:rPr>
        <w:lastRenderedPageBreak/>
        <w:t>FAB BLUE MED</w:t>
      </w:r>
    </w:p>
    <w:p w:rsidR="001646BE" w:rsidRPr="00DA5055" w:rsidRDefault="001646BE" w:rsidP="00893C47">
      <w:pPr>
        <w:ind w:firstLine="360"/>
      </w:pPr>
      <w:r>
        <w:t>Funkcionalni blok zračnog prostora Blue Med sastoji se od četiri zemlje članice - Italije, Grčke, Cipra i Malte uz partnere Tunis, Egipat i Albaniju te Jordana kao promatrača. Cijeli FAB lagano je zaobljen baš kao i rutna mreža na tom području. Glavni prometni tokovi smješteni su iznad Italije te se protežu u smjeru sjeverozapad-jugoistok, posebice u pravcu Francuske, Švicarske, Austrije i Turske. Slika 7 prikazuje FAB Blue Med s glavnim prometnim tokovima.</w:t>
      </w:r>
    </w:p>
    <w:p w:rsidR="001646BE" w:rsidRDefault="00E02CBE" w:rsidP="00893C47">
      <w:pPr>
        <w:spacing w:after="0"/>
        <w:ind w:firstLine="360"/>
      </w:pPr>
      <w:r>
        <w:rPr>
          <w:noProof/>
          <w:lang w:eastAsia="hr-HR"/>
        </w:rPr>
        <w:drawing>
          <wp:inline distT="0" distB="0" distL="0" distR="0">
            <wp:extent cx="4200525" cy="3181350"/>
            <wp:effectExtent l="19050" t="0" r="9525" b="0"/>
            <wp:docPr id="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
                    <a:srcRect/>
                    <a:stretch>
                      <a:fillRect/>
                    </a:stretch>
                  </pic:blipFill>
                  <pic:spPr bwMode="auto">
                    <a:xfrm>
                      <a:off x="0" y="0"/>
                      <a:ext cx="4200525" cy="3181350"/>
                    </a:xfrm>
                    <a:prstGeom prst="rect">
                      <a:avLst/>
                    </a:prstGeom>
                    <a:noFill/>
                    <a:ln w="9525">
                      <a:noFill/>
                      <a:miter lim="800000"/>
                      <a:headEnd/>
                      <a:tailEnd/>
                    </a:ln>
                  </pic:spPr>
                </pic:pic>
              </a:graphicData>
            </a:graphic>
          </wp:inline>
        </w:drawing>
      </w:r>
    </w:p>
    <w:p w:rsidR="001646BE" w:rsidRPr="00595E99" w:rsidRDefault="001646BE" w:rsidP="00893C47">
      <w:pPr>
        <w:spacing w:after="0"/>
        <w:ind w:firstLine="360"/>
        <w:rPr>
          <w:b/>
          <w:bCs/>
          <w:sz w:val="20"/>
          <w:szCs w:val="20"/>
        </w:rPr>
      </w:pPr>
      <w:r w:rsidRPr="00595E99">
        <w:rPr>
          <w:b/>
          <w:bCs/>
          <w:sz w:val="20"/>
          <w:szCs w:val="20"/>
        </w:rPr>
        <w:t>Slika 7: FAB Blue Med i njegovi glavni prometni tokovi.</w:t>
      </w:r>
    </w:p>
    <w:p w:rsidR="001646BE" w:rsidRDefault="001646BE" w:rsidP="00893C47">
      <w:pPr>
        <w:spacing w:after="0"/>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ind w:firstLine="360"/>
        <w:rPr>
          <w:sz w:val="20"/>
          <w:szCs w:val="20"/>
        </w:rPr>
      </w:pPr>
    </w:p>
    <w:p w:rsidR="001646BE" w:rsidRDefault="001646BE" w:rsidP="00893C47">
      <w:pPr>
        <w:ind w:firstLine="360"/>
      </w:pPr>
      <w:r>
        <w:t>Postoje mnoge sličnosti između operativnih koncepata Italije i Grčke te Malte i Cipre kao manjih organizacija, međutim postoje određene različitosti između spomenute dvije manje organizacije, i dvije veće. Uključenje zemalja partnera koje nisu članice EU prilika je za proširenje SES standarda i zahtjeva izvan Europe, čime se ostvaruju znatna operativna i sigurnosna poboljšanja. Jedan od ključnih zahtjeva za FAB Blue MED jest efikasna civilno-vojna suradnja, s obzirom na opseg vojnih operacija u FAB-u. Financijska poboljšanja i prihodi koji se očekuju uspostavom FAB-a, prema CBA analizi, trebali bi iznositi između 14 i 49 milijuna eura u 2013. godini. Opći podaci o FAB-u Blue Med prezentirani su  u tablici 3.</w:t>
      </w:r>
    </w:p>
    <w:p w:rsidR="001646BE" w:rsidRDefault="001646BE" w:rsidP="00893C47">
      <w:pPr>
        <w:ind w:firstLine="360"/>
      </w:pPr>
    </w:p>
    <w:p w:rsidR="001646BE" w:rsidRPr="005644E5" w:rsidRDefault="001646BE" w:rsidP="00893C47">
      <w:pPr>
        <w:spacing w:after="0" w:line="240" w:lineRule="auto"/>
        <w:rPr>
          <w:b/>
          <w:bCs/>
          <w:sz w:val="20"/>
          <w:szCs w:val="20"/>
        </w:rPr>
      </w:pPr>
      <w:r w:rsidRPr="005644E5">
        <w:rPr>
          <w:b/>
          <w:bCs/>
          <w:sz w:val="20"/>
          <w:szCs w:val="20"/>
        </w:rPr>
        <w:lastRenderedPageBreak/>
        <w:t>Tablica 3</w:t>
      </w:r>
      <w:r>
        <w:rPr>
          <w:b/>
          <w:bCs/>
          <w:sz w:val="20"/>
          <w:szCs w:val="20"/>
        </w:rPr>
        <w:t xml:space="preserve">: opći podaci o FAB-u </w:t>
      </w:r>
      <w:r w:rsidRPr="005644E5">
        <w:rPr>
          <w:b/>
          <w:bCs/>
          <w:sz w:val="20"/>
          <w:szCs w:val="20"/>
        </w:rPr>
        <w:t>Blue Med</w:t>
      </w:r>
    </w:p>
    <w:tbl>
      <w:tblPr>
        <w:tblW w:w="91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7"/>
        <w:gridCol w:w="1158"/>
        <w:gridCol w:w="682"/>
        <w:gridCol w:w="1019"/>
        <w:gridCol w:w="892"/>
        <w:gridCol w:w="801"/>
        <w:gridCol w:w="1138"/>
        <w:gridCol w:w="1041"/>
        <w:gridCol w:w="1094"/>
      </w:tblGrid>
      <w:tr w:rsidR="001646BE" w:rsidRPr="003A4F00">
        <w:trPr>
          <w:trHeight w:val="1260"/>
        </w:trPr>
        <w:tc>
          <w:tcPr>
            <w:tcW w:w="1357" w:type="dxa"/>
            <w:vAlign w:val="center"/>
          </w:tcPr>
          <w:p w:rsidR="001646BE" w:rsidRPr="003A4F00" w:rsidRDefault="001646BE" w:rsidP="003A4F00">
            <w:pPr>
              <w:spacing w:after="0" w:line="240" w:lineRule="auto"/>
              <w:jc w:val="center"/>
              <w:rPr>
                <w:b/>
                <w:bCs/>
                <w:color w:val="000000"/>
                <w:sz w:val="20"/>
                <w:szCs w:val="20"/>
              </w:rPr>
            </w:pPr>
          </w:p>
        </w:tc>
        <w:tc>
          <w:tcPr>
            <w:tcW w:w="115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VELIčINA ZRAČNOG PROSTORA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(000km²)</w:t>
            </w:r>
          </w:p>
        </w:tc>
        <w:tc>
          <w:tcPr>
            <w:tcW w:w="68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SATI LETA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(mil)</w:t>
            </w:r>
          </w:p>
        </w:tc>
        <w:tc>
          <w:tcPr>
            <w:tcW w:w="1019"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(mlrd  EUR)</w:t>
            </w:r>
          </w:p>
        </w:tc>
        <w:tc>
          <w:tcPr>
            <w:tcW w:w="89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SEKTORI</w:t>
            </w:r>
          </w:p>
        </w:tc>
        <w:tc>
          <w:tcPr>
            <w:tcW w:w="80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BROJ ACC-a</w:t>
            </w:r>
          </w:p>
        </w:tc>
        <w:tc>
          <w:tcPr>
            <w:tcW w:w="113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ATFM KAŠNJENJE</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(min  / satu leta)</w:t>
            </w:r>
          </w:p>
        </w:tc>
        <w:tc>
          <w:tcPr>
            <w:tcW w:w="104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ATCO</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c>
          <w:tcPr>
            <w:tcW w:w="1094"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 PRUŽANJA USLUGA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r>
      <w:tr w:rsidR="001646BE" w:rsidRPr="003A4F00">
        <w:trPr>
          <w:trHeight w:val="378"/>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FAB</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1675</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0,9</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72</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7</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0,48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118</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421</w:t>
            </w:r>
          </w:p>
        </w:tc>
      </w:tr>
      <w:tr w:rsidR="001646BE" w:rsidRPr="003A4F00">
        <w:trPr>
          <w:trHeight w:val="393"/>
        </w:trPr>
        <w:tc>
          <w:tcPr>
            <w:tcW w:w="1357" w:type="dxa"/>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tc>
        <w:tc>
          <w:tcPr>
            <w:tcW w:w="1158" w:type="dxa"/>
            <w:vAlign w:val="center"/>
          </w:tcPr>
          <w:p w:rsidR="001646BE" w:rsidRPr="003A4F00" w:rsidRDefault="00EA745D" w:rsidP="003A4F00">
            <w:pPr>
              <w:spacing w:after="0" w:line="240" w:lineRule="auto"/>
              <w:jc w:val="center"/>
              <w:rPr>
                <w:color w:val="000000"/>
              </w:rPr>
            </w:pPr>
            <w:r>
              <w:rPr>
                <w:color w:val="000000"/>
                <w:sz w:val="22"/>
                <w:szCs w:val="22"/>
              </w:rPr>
              <w:t>17.</w:t>
            </w:r>
            <w:r w:rsidR="001646BE" w:rsidRPr="003A4F00">
              <w:rPr>
                <w:color w:val="000000"/>
                <w:sz w:val="22"/>
                <w:szCs w:val="22"/>
              </w:rPr>
              <w:t>483</w:t>
            </w:r>
          </w:p>
        </w:tc>
        <w:tc>
          <w:tcPr>
            <w:tcW w:w="682" w:type="dxa"/>
            <w:vAlign w:val="center"/>
          </w:tcPr>
          <w:p w:rsidR="001646BE" w:rsidRPr="003A4F00" w:rsidRDefault="001646BE" w:rsidP="003A4F00">
            <w:pPr>
              <w:spacing w:after="0" w:line="240" w:lineRule="auto"/>
              <w:jc w:val="center"/>
              <w:rPr>
                <w:color w:val="000000"/>
              </w:rPr>
            </w:pPr>
            <w:r w:rsidRPr="003A4F00">
              <w:rPr>
                <w:color w:val="000000"/>
                <w:sz w:val="22"/>
                <w:szCs w:val="22"/>
              </w:rPr>
              <w:t>16,4</w:t>
            </w:r>
          </w:p>
        </w:tc>
        <w:tc>
          <w:tcPr>
            <w:tcW w:w="1019" w:type="dxa"/>
            <w:vAlign w:val="center"/>
          </w:tcPr>
          <w:p w:rsidR="001646BE" w:rsidRPr="003A4F00" w:rsidRDefault="001646BE" w:rsidP="003A4F00">
            <w:pPr>
              <w:spacing w:after="0" w:line="240" w:lineRule="auto"/>
              <w:jc w:val="center"/>
              <w:rPr>
                <w:color w:val="000000"/>
              </w:rPr>
            </w:pPr>
            <w:r w:rsidRPr="003A4F00">
              <w:rPr>
                <w:color w:val="000000"/>
                <w:sz w:val="22"/>
                <w:szCs w:val="22"/>
              </w:rPr>
              <w:t>6,5</w:t>
            </w:r>
          </w:p>
        </w:tc>
        <w:tc>
          <w:tcPr>
            <w:tcW w:w="892" w:type="dxa"/>
            <w:vAlign w:val="center"/>
          </w:tcPr>
          <w:p w:rsidR="001646BE" w:rsidRPr="003A4F00" w:rsidRDefault="001646BE" w:rsidP="003A4F00">
            <w:pPr>
              <w:spacing w:after="0" w:line="240" w:lineRule="auto"/>
              <w:jc w:val="center"/>
              <w:rPr>
                <w:color w:val="000000"/>
              </w:rPr>
            </w:pPr>
            <w:r w:rsidRPr="003A4F00">
              <w:rPr>
                <w:color w:val="000000"/>
                <w:sz w:val="22"/>
                <w:szCs w:val="22"/>
              </w:rPr>
              <w:t>622</w:t>
            </w:r>
          </w:p>
        </w:tc>
        <w:tc>
          <w:tcPr>
            <w:tcW w:w="801" w:type="dxa"/>
            <w:vAlign w:val="center"/>
          </w:tcPr>
          <w:p w:rsidR="001646BE" w:rsidRPr="003A4F00" w:rsidRDefault="001646BE" w:rsidP="003A4F00">
            <w:pPr>
              <w:spacing w:after="0" w:line="240" w:lineRule="auto"/>
              <w:jc w:val="center"/>
              <w:rPr>
                <w:color w:val="000000"/>
              </w:rPr>
            </w:pPr>
            <w:r w:rsidRPr="003A4F00">
              <w:rPr>
                <w:color w:val="000000"/>
                <w:sz w:val="22"/>
                <w:szCs w:val="22"/>
              </w:rPr>
              <w:t>59</w:t>
            </w:r>
          </w:p>
        </w:tc>
        <w:tc>
          <w:tcPr>
            <w:tcW w:w="1138"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41"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94"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r>
      <w:tr w:rsidR="001646BE" w:rsidRPr="003A4F00">
        <w:trPr>
          <w:trHeight w:val="696"/>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p w:rsidR="001646BE" w:rsidRPr="003A4F00" w:rsidRDefault="001646BE" w:rsidP="003A4F00">
            <w:pPr>
              <w:spacing w:after="0" w:line="240" w:lineRule="auto"/>
              <w:jc w:val="center"/>
              <w:rPr>
                <w:b/>
                <w:bCs/>
                <w:color w:val="000000"/>
                <w:sz w:val="20"/>
                <w:szCs w:val="20"/>
              </w:rPr>
            </w:pPr>
            <w:r w:rsidRPr="003A4F00">
              <w:rPr>
                <w:color w:val="000000"/>
                <w:sz w:val="20"/>
                <w:szCs w:val="20"/>
              </w:rPr>
              <w:t>PROSJEK</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bl>
    <w:p w:rsidR="001646BE" w:rsidRDefault="001646BE" w:rsidP="00893C47">
      <w:pPr>
        <w:rPr>
          <w:sz w:val="20"/>
          <w:szCs w:val="20"/>
        </w:rPr>
      </w:pPr>
      <w:r w:rsidRPr="00E2031E">
        <w:rPr>
          <w:sz w:val="20"/>
          <w:szCs w:val="20"/>
        </w:rPr>
        <w:t>Izvor: Performance Review Com</w:t>
      </w:r>
      <w:r>
        <w:rPr>
          <w:sz w:val="20"/>
          <w:szCs w:val="20"/>
        </w:rPr>
        <w:t>m</w:t>
      </w:r>
      <w:r w:rsidRPr="00E2031E">
        <w:rPr>
          <w:sz w:val="20"/>
          <w:szCs w:val="20"/>
        </w:rPr>
        <w:t>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ind w:firstLine="360"/>
      </w:pPr>
      <w:r>
        <w:t>Promjene koje uspostava FAB-a donosi, a koje se tiču konfiguracije zračnog prostora, civilno-vojne suradnje, dizajna ruta i sektora, sigurnosti, naplate usluga, ATM sustava i obuke zaposlenih, prikazane su grafikonom 3. Operiranje i upravljanje FAB-om tijekom faze razvoja te metode postizanja željenih ciljeva, u pogledu kooperacije s ostalim FAB-ovima, procesa donošenja odluka, socijalnog dijaloga, uključenosti država i korisnika zračnog prostora, prikazano je na grafikonu 4.</w:t>
      </w:r>
    </w:p>
    <w:p w:rsidR="001646BE" w:rsidRDefault="00E02CBE" w:rsidP="00893C47">
      <w:pPr>
        <w:spacing w:after="0"/>
      </w:pPr>
      <w:r>
        <w:rPr>
          <w:noProof/>
          <w:lang w:eastAsia="hr-HR"/>
        </w:rPr>
        <w:drawing>
          <wp:inline distT="0" distB="0" distL="0" distR="0">
            <wp:extent cx="2562225" cy="2085975"/>
            <wp:effectExtent l="19050" t="0" r="9525" b="0"/>
            <wp:docPr id="10"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18"/>
                    <a:srcRect r="-49" b="-305"/>
                    <a:stretch>
                      <a:fillRect/>
                    </a:stretch>
                  </pic:blipFill>
                  <pic:spPr bwMode="auto">
                    <a:xfrm>
                      <a:off x="0" y="0"/>
                      <a:ext cx="2562225" cy="2085975"/>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838450" cy="2190750"/>
            <wp:effectExtent l="19050" t="0" r="0" b="0"/>
            <wp:docPr id="11" name="Object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2"/>
                    <pic:cNvPicPr>
                      <a:picLocks noChangeArrowheads="1"/>
                    </pic:cNvPicPr>
                  </pic:nvPicPr>
                  <pic:blipFill>
                    <a:blip r:embed="rId19"/>
                    <a:srcRect/>
                    <a:stretch>
                      <a:fillRect/>
                    </a:stretch>
                  </pic:blipFill>
                  <pic:spPr bwMode="auto">
                    <a:xfrm>
                      <a:off x="0" y="0"/>
                      <a:ext cx="2838450" cy="2190750"/>
                    </a:xfrm>
                    <a:prstGeom prst="rect">
                      <a:avLst/>
                    </a:prstGeom>
                    <a:noFill/>
                    <a:ln w="9525">
                      <a:noFill/>
                      <a:miter lim="800000"/>
                      <a:headEnd/>
                      <a:tailEnd/>
                    </a:ln>
                  </pic:spPr>
                </pic:pic>
              </a:graphicData>
            </a:graphic>
          </wp:inline>
        </w:drawing>
      </w:r>
    </w:p>
    <w:p w:rsidR="001646BE" w:rsidRPr="00F43A15" w:rsidRDefault="001646BE" w:rsidP="00893C47">
      <w:pPr>
        <w:spacing w:after="0"/>
        <w:rPr>
          <w:b/>
          <w:bCs/>
          <w:sz w:val="20"/>
          <w:szCs w:val="20"/>
        </w:rPr>
      </w:pPr>
      <w:r>
        <w:rPr>
          <w:b/>
          <w:bCs/>
          <w:sz w:val="20"/>
          <w:szCs w:val="20"/>
        </w:rPr>
        <w:t>Grafikon 3:</w:t>
      </w:r>
      <w:r w:rsidRPr="00F43A15">
        <w:rPr>
          <w:b/>
          <w:bCs/>
          <w:sz w:val="20"/>
          <w:szCs w:val="20"/>
        </w:rPr>
        <w:t xml:space="preserve"> promjene nastale u</w:t>
      </w:r>
      <w:r>
        <w:rPr>
          <w:b/>
          <w:bCs/>
          <w:sz w:val="20"/>
          <w:szCs w:val="20"/>
        </w:rPr>
        <w:t xml:space="preserve">spostavom FAB-a.          Grafikon 4: </w:t>
      </w:r>
      <w:r w:rsidRPr="00F43A15">
        <w:rPr>
          <w:b/>
          <w:bCs/>
          <w:sz w:val="20"/>
          <w:szCs w:val="20"/>
        </w:rPr>
        <w:t>upravljanje FAB-om u fazi razvoja.</w:t>
      </w:r>
    </w:p>
    <w:p w:rsidR="001646BE" w:rsidRDefault="001646BE" w:rsidP="00893C47">
      <w:pPr>
        <w:spacing w:after="0"/>
        <w:rPr>
          <w:sz w:val="20"/>
          <w:szCs w:val="20"/>
        </w:rPr>
      </w:pPr>
      <w:r>
        <w:rPr>
          <w:sz w:val="20"/>
          <w:szCs w:val="20"/>
        </w:rPr>
        <w:t xml:space="preserve">Izvor: </w:t>
      </w:r>
      <w:r w:rsidRPr="00E2031E">
        <w:rPr>
          <w:sz w:val="20"/>
          <w:szCs w:val="20"/>
        </w:rPr>
        <w:t>Performance Review Comision: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spacing w:after="0"/>
        <w:ind w:firstLine="360"/>
        <w:jc w:val="left"/>
        <w:rPr>
          <w:sz w:val="20"/>
          <w:szCs w:val="20"/>
        </w:rPr>
      </w:pPr>
    </w:p>
    <w:p w:rsidR="001646BE" w:rsidRDefault="001646BE" w:rsidP="00893C47">
      <w:pPr>
        <w:ind w:firstLine="360"/>
      </w:pPr>
      <w:r>
        <w:t>Implementacija FAB-a očekuje se u 2012. godini, međutim s obzirom da se radi o implementaciji u nekoliko faza, puna operativnost FAB-a očekuje se do 2015. godine [</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pPr>
        <w:ind w:firstLine="360"/>
      </w:pPr>
    </w:p>
    <w:p w:rsidR="001646BE" w:rsidRDefault="001646BE" w:rsidP="00893C47">
      <w:pPr>
        <w:ind w:firstLine="360"/>
      </w:pPr>
    </w:p>
    <w:p w:rsidR="001646BE" w:rsidRDefault="001646BE" w:rsidP="00893C47">
      <w:pPr>
        <w:rPr>
          <w:b/>
          <w:bCs/>
        </w:rPr>
      </w:pPr>
      <w:r>
        <w:rPr>
          <w:b/>
          <w:bCs/>
        </w:rPr>
        <w:lastRenderedPageBreak/>
        <w:t>FAB DANUBE</w:t>
      </w:r>
    </w:p>
    <w:p w:rsidR="001646BE" w:rsidRDefault="001646BE" w:rsidP="00893C47">
      <w:pPr>
        <w:ind w:firstLine="360"/>
      </w:pPr>
      <w:r>
        <w:t xml:space="preserve">Funkcionalni blok zračnog prostora Danube uključuje dvije zemlje članice - Bugarsku i Rumunjsku, iako je u početku bila planirana participacija Turske i Moldavije kao punopravnih članica. Razvijena su tri scenarija uspostave FAB-a: potpuna integracija, parcijalna integracija i bez integracije. U sva tri slučaja ACC-i zemalja članica djeluju kao „virtualni centar“, a operateri doživljavaju bugarski i rumunjski zračni prostor kao jedinstven. Nakon provedbe potrebnih studija, odabran je model parcijalne integracije, gdje oba ANSP-a provode operativne funkcije, a zajedničke se aktivnosti (planiranje, koordinacija, razvoj procedura i sl.) izvršavaju preko zajedničkih organa odlučivanja. </w:t>
      </w:r>
    </w:p>
    <w:p w:rsidR="001646BE" w:rsidRDefault="001646BE" w:rsidP="00893C47">
      <w:pPr>
        <w:ind w:firstLine="360"/>
      </w:pPr>
      <w:r>
        <w:t xml:space="preserve">Glavni prometni pravci protežu se u smjeru sjeverozapad-jugoistok, posebice u smjeru Mađarske i Turske, kao što je vidljivo na slici 8. </w:t>
      </w:r>
    </w:p>
    <w:p w:rsidR="001646BE" w:rsidRDefault="00E02CBE" w:rsidP="00893C47">
      <w:pPr>
        <w:spacing w:line="240" w:lineRule="auto"/>
        <w:ind w:firstLine="360"/>
      </w:pPr>
      <w:r>
        <w:rPr>
          <w:noProof/>
          <w:lang w:eastAsia="hr-HR"/>
        </w:rPr>
        <w:drawing>
          <wp:inline distT="0" distB="0" distL="0" distR="0">
            <wp:extent cx="4076700" cy="3067050"/>
            <wp:effectExtent l="19050" t="0" r="0" b="0"/>
            <wp:docPr id="1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
                    <a:srcRect/>
                    <a:stretch>
                      <a:fillRect/>
                    </a:stretch>
                  </pic:blipFill>
                  <pic:spPr bwMode="auto">
                    <a:xfrm>
                      <a:off x="0" y="0"/>
                      <a:ext cx="4076700" cy="3067050"/>
                    </a:xfrm>
                    <a:prstGeom prst="rect">
                      <a:avLst/>
                    </a:prstGeom>
                    <a:noFill/>
                    <a:ln w="9525">
                      <a:noFill/>
                      <a:miter lim="800000"/>
                      <a:headEnd/>
                      <a:tailEnd/>
                    </a:ln>
                  </pic:spPr>
                </pic:pic>
              </a:graphicData>
            </a:graphic>
          </wp:inline>
        </w:drawing>
      </w:r>
    </w:p>
    <w:p w:rsidR="001646BE" w:rsidRPr="00B13CA4" w:rsidRDefault="001646BE" w:rsidP="00893C47">
      <w:pPr>
        <w:spacing w:line="240" w:lineRule="auto"/>
        <w:ind w:firstLine="360"/>
        <w:rPr>
          <w:b/>
          <w:bCs/>
          <w:sz w:val="20"/>
          <w:szCs w:val="20"/>
        </w:rPr>
      </w:pPr>
      <w:r w:rsidRPr="00B13CA4">
        <w:rPr>
          <w:b/>
          <w:bCs/>
          <w:sz w:val="20"/>
          <w:szCs w:val="20"/>
        </w:rPr>
        <w:t>Slika 7: FAB Danube i njegovi glavni prometni tokovi.</w:t>
      </w:r>
    </w:p>
    <w:p w:rsidR="001646BE" w:rsidRDefault="001646BE" w:rsidP="00893C47">
      <w:pPr>
        <w:spacing w:line="240" w:lineRule="auto"/>
        <w:ind w:left="360"/>
        <w:rPr>
          <w:sz w:val="20"/>
          <w:szCs w:val="20"/>
        </w:rPr>
      </w:pPr>
      <w:r>
        <w:rPr>
          <w:sz w:val="20"/>
          <w:szCs w:val="20"/>
        </w:rPr>
        <w:t>Izvor: Performance Review Commision: “Evaluation of FAB initiatives and their contribution to performance improvement“, Eurocontrol 2008.</w:t>
      </w:r>
    </w:p>
    <w:p w:rsidR="001646BE" w:rsidRPr="00FF4EC3" w:rsidRDefault="001646BE" w:rsidP="00893C47">
      <w:pPr>
        <w:spacing w:line="240" w:lineRule="auto"/>
        <w:ind w:left="360"/>
        <w:rPr>
          <w:sz w:val="20"/>
          <w:szCs w:val="20"/>
        </w:rPr>
      </w:pPr>
    </w:p>
    <w:p w:rsidR="001646BE" w:rsidRDefault="001646BE" w:rsidP="00893C47">
      <w:pPr>
        <w:ind w:firstLine="360"/>
      </w:pPr>
      <w:r>
        <w:t>Sličnosti operativnih koncepata, kao i moderni ATM sustavi Rumunjske i Bugarske, uvelike olakšavaju uspostavu FAB-a. Činjenica da ni jedna od zemalja članica ne generira ATFM kašnjenja, usmjerava eventualna poboljšanja na domenu efikasnosti letova i pomoćnih funkcija. Financijska poboljšanja i prihodi koji se očekuju uspostavom FAB-a, iznose između 29 i 52 mil. eura u 2013. godini. Opći podaci o FAB-u Danube prezentirani su u tablici 4.</w:t>
      </w:r>
    </w:p>
    <w:p w:rsidR="001646BE" w:rsidRPr="00B13CA4" w:rsidRDefault="001646BE" w:rsidP="00893C47">
      <w:pPr>
        <w:spacing w:after="0" w:line="240" w:lineRule="auto"/>
        <w:rPr>
          <w:b/>
          <w:bCs/>
          <w:sz w:val="20"/>
          <w:szCs w:val="20"/>
        </w:rPr>
      </w:pPr>
      <w:r>
        <w:rPr>
          <w:b/>
          <w:bCs/>
          <w:sz w:val="20"/>
          <w:szCs w:val="20"/>
        </w:rPr>
        <w:lastRenderedPageBreak/>
        <w:t xml:space="preserve">Tablica 4: </w:t>
      </w:r>
      <w:r w:rsidRPr="00B13CA4">
        <w:rPr>
          <w:b/>
          <w:bCs/>
          <w:sz w:val="20"/>
          <w:szCs w:val="20"/>
        </w:rPr>
        <w:t>opći podaci o FAB-u Danube</w:t>
      </w:r>
    </w:p>
    <w:tbl>
      <w:tblPr>
        <w:tblW w:w="91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7"/>
        <w:gridCol w:w="1158"/>
        <w:gridCol w:w="682"/>
        <w:gridCol w:w="1019"/>
        <w:gridCol w:w="892"/>
        <w:gridCol w:w="801"/>
        <w:gridCol w:w="1138"/>
        <w:gridCol w:w="1041"/>
        <w:gridCol w:w="1094"/>
      </w:tblGrid>
      <w:tr w:rsidR="001646BE" w:rsidRPr="003A4F00">
        <w:trPr>
          <w:trHeight w:val="1260"/>
        </w:trPr>
        <w:tc>
          <w:tcPr>
            <w:tcW w:w="1357" w:type="dxa"/>
            <w:vAlign w:val="center"/>
          </w:tcPr>
          <w:p w:rsidR="001646BE" w:rsidRPr="003A4F00" w:rsidRDefault="001646BE" w:rsidP="003A4F00">
            <w:pPr>
              <w:spacing w:after="0" w:line="240" w:lineRule="auto"/>
              <w:jc w:val="center"/>
              <w:rPr>
                <w:b/>
                <w:bCs/>
                <w:color w:val="000000"/>
                <w:sz w:val="20"/>
                <w:szCs w:val="20"/>
              </w:rPr>
            </w:pPr>
          </w:p>
        </w:tc>
        <w:tc>
          <w:tcPr>
            <w:tcW w:w="115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VELIčINA ZRAČNOG PROSTORA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(000km²)</w:t>
            </w:r>
          </w:p>
        </w:tc>
        <w:tc>
          <w:tcPr>
            <w:tcW w:w="68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SATI LETA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(mil)</w:t>
            </w:r>
          </w:p>
        </w:tc>
        <w:tc>
          <w:tcPr>
            <w:tcW w:w="1019"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(mlrd  EUR)</w:t>
            </w:r>
          </w:p>
        </w:tc>
        <w:tc>
          <w:tcPr>
            <w:tcW w:w="89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SEKTORI</w:t>
            </w:r>
          </w:p>
        </w:tc>
        <w:tc>
          <w:tcPr>
            <w:tcW w:w="80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BROJ ACC-a</w:t>
            </w:r>
          </w:p>
        </w:tc>
        <w:tc>
          <w:tcPr>
            <w:tcW w:w="113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ATFM KAŠNJENJE</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(min  / satu leta)</w:t>
            </w:r>
          </w:p>
        </w:tc>
        <w:tc>
          <w:tcPr>
            <w:tcW w:w="104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ATCO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c>
          <w:tcPr>
            <w:tcW w:w="1094"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 PRUŽANJA USLUGA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r>
      <w:tr w:rsidR="001646BE" w:rsidRPr="003A4F00">
        <w:trPr>
          <w:trHeight w:val="378"/>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FAB</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0,4</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0,2</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24</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3</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0,0</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105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487</w:t>
            </w:r>
          </w:p>
        </w:tc>
      </w:tr>
      <w:tr w:rsidR="001646BE" w:rsidRPr="003A4F00">
        <w:trPr>
          <w:trHeight w:val="393"/>
        </w:trPr>
        <w:tc>
          <w:tcPr>
            <w:tcW w:w="1357" w:type="dxa"/>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tc>
        <w:tc>
          <w:tcPr>
            <w:tcW w:w="1158" w:type="dxa"/>
            <w:vAlign w:val="center"/>
          </w:tcPr>
          <w:p w:rsidR="001646BE" w:rsidRPr="003A4F00" w:rsidRDefault="00EA745D" w:rsidP="003A4F00">
            <w:pPr>
              <w:spacing w:after="0" w:line="240" w:lineRule="auto"/>
              <w:jc w:val="center"/>
              <w:rPr>
                <w:color w:val="000000"/>
              </w:rPr>
            </w:pPr>
            <w:r>
              <w:rPr>
                <w:color w:val="000000"/>
                <w:sz w:val="22"/>
                <w:szCs w:val="22"/>
              </w:rPr>
              <w:t>17.</w:t>
            </w:r>
            <w:r w:rsidR="001646BE" w:rsidRPr="003A4F00">
              <w:rPr>
                <w:color w:val="000000"/>
                <w:sz w:val="22"/>
                <w:szCs w:val="22"/>
              </w:rPr>
              <w:t>483</w:t>
            </w:r>
          </w:p>
        </w:tc>
        <w:tc>
          <w:tcPr>
            <w:tcW w:w="682" w:type="dxa"/>
            <w:vAlign w:val="center"/>
          </w:tcPr>
          <w:p w:rsidR="001646BE" w:rsidRPr="003A4F00" w:rsidRDefault="001646BE" w:rsidP="003A4F00">
            <w:pPr>
              <w:spacing w:after="0" w:line="240" w:lineRule="auto"/>
              <w:jc w:val="center"/>
              <w:rPr>
                <w:color w:val="000000"/>
              </w:rPr>
            </w:pPr>
            <w:r w:rsidRPr="003A4F00">
              <w:rPr>
                <w:color w:val="000000"/>
                <w:sz w:val="22"/>
                <w:szCs w:val="22"/>
              </w:rPr>
              <w:t>16,4</w:t>
            </w:r>
          </w:p>
        </w:tc>
        <w:tc>
          <w:tcPr>
            <w:tcW w:w="1019" w:type="dxa"/>
            <w:vAlign w:val="center"/>
          </w:tcPr>
          <w:p w:rsidR="001646BE" w:rsidRPr="003A4F00" w:rsidRDefault="001646BE" w:rsidP="003A4F00">
            <w:pPr>
              <w:spacing w:after="0" w:line="240" w:lineRule="auto"/>
              <w:jc w:val="center"/>
              <w:rPr>
                <w:color w:val="000000"/>
              </w:rPr>
            </w:pPr>
            <w:r w:rsidRPr="003A4F00">
              <w:rPr>
                <w:color w:val="000000"/>
                <w:sz w:val="22"/>
                <w:szCs w:val="22"/>
              </w:rPr>
              <w:t>6,5</w:t>
            </w:r>
          </w:p>
        </w:tc>
        <w:tc>
          <w:tcPr>
            <w:tcW w:w="892" w:type="dxa"/>
            <w:vAlign w:val="center"/>
          </w:tcPr>
          <w:p w:rsidR="001646BE" w:rsidRPr="003A4F00" w:rsidRDefault="001646BE" w:rsidP="003A4F00">
            <w:pPr>
              <w:spacing w:after="0" w:line="240" w:lineRule="auto"/>
              <w:jc w:val="center"/>
              <w:rPr>
                <w:color w:val="000000"/>
              </w:rPr>
            </w:pPr>
            <w:r w:rsidRPr="003A4F00">
              <w:rPr>
                <w:color w:val="000000"/>
                <w:sz w:val="22"/>
                <w:szCs w:val="22"/>
              </w:rPr>
              <w:t>622</w:t>
            </w:r>
          </w:p>
        </w:tc>
        <w:tc>
          <w:tcPr>
            <w:tcW w:w="801" w:type="dxa"/>
            <w:vAlign w:val="center"/>
          </w:tcPr>
          <w:p w:rsidR="001646BE" w:rsidRPr="003A4F00" w:rsidRDefault="001646BE" w:rsidP="003A4F00">
            <w:pPr>
              <w:spacing w:after="0" w:line="240" w:lineRule="auto"/>
              <w:jc w:val="center"/>
              <w:rPr>
                <w:color w:val="000000"/>
              </w:rPr>
            </w:pPr>
            <w:r w:rsidRPr="003A4F00">
              <w:rPr>
                <w:color w:val="000000"/>
                <w:sz w:val="22"/>
                <w:szCs w:val="22"/>
              </w:rPr>
              <w:t>59</w:t>
            </w:r>
          </w:p>
        </w:tc>
        <w:tc>
          <w:tcPr>
            <w:tcW w:w="1138"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41"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94"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r>
      <w:tr w:rsidR="001646BE" w:rsidRPr="003A4F00">
        <w:trPr>
          <w:trHeight w:val="696"/>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p w:rsidR="001646BE" w:rsidRPr="003A4F00" w:rsidRDefault="001646BE" w:rsidP="003A4F00">
            <w:pPr>
              <w:spacing w:after="0" w:line="240" w:lineRule="auto"/>
              <w:jc w:val="center"/>
              <w:rPr>
                <w:b/>
                <w:bCs/>
                <w:color w:val="000000"/>
                <w:sz w:val="20"/>
                <w:szCs w:val="20"/>
              </w:rPr>
            </w:pPr>
            <w:r w:rsidRPr="003A4F00">
              <w:rPr>
                <w:color w:val="000000"/>
                <w:sz w:val="20"/>
                <w:szCs w:val="20"/>
              </w:rPr>
              <w:t>PROSJEK</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bl>
    <w:p w:rsidR="001646BE" w:rsidRDefault="001646BE" w:rsidP="00893C47">
      <w:pPr>
        <w:rPr>
          <w:sz w:val="20"/>
          <w:szCs w:val="20"/>
        </w:rPr>
      </w:pPr>
      <w:r w:rsidRPr="00E2031E">
        <w:rPr>
          <w:sz w:val="20"/>
          <w:szCs w:val="20"/>
        </w:rPr>
        <w:t>Izvor: Performance Review Com</w:t>
      </w:r>
      <w:r>
        <w:rPr>
          <w:sz w:val="20"/>
          <w:szCs w:val="20"/>
        </w:rPr>
        <w:t>m</w:t>
      </w:r>
      <w:r w:rsidRPr="00E2031E">
        <w:rPr>
          <w:sz w:val="20"/>
          <w:szCs w:val="20"/>
        </w:rPr>
        <w:t>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spacing w:after="0"/>
        <w:ind w:firstLine="360"/>
      </w:pPr>
      <w:r>
        <w:t>Promjene koje uspostava FAB-a donosi, a koje se tiču konfiguracije zračnog prostora, civilno-vojne suradnje, dizajna ruta i sektora, sigurnosti, naplate usluga, ATM sustava i obuke zaposlenih, prikazane su grafikonom 5. Operiranje i upravljanje FAB-om tijekom faze razvoja te metode postizanja željenih ciljeva, u pogledu kooperacije s ostalim FAB-ovima, procesa donošenja odluka, socijalnog dijaloga, uključenosti država i korisnika zračnog prostora, prikazano je na grafikonu 6.</w:t>
      </w:r>
    </w:p>
    <w:p w:rsidR="001646BE" w:rsidRDefault="001646BE" w:rsidP="00893C47">
      <w:pPr>
        <w:ind w:firstLine="360"/>
      </w:pPr>
    </w:p>
    <w:p w:rsidR="001646BE" w:rsidRDefault="00E02CBE" w:rsidP="00893C47">
      <w:pPr>
        <w:spacing w:after="0"/>
      </w:pPr>
      <w:r>
        <w:rPr>
          <w:noProof/>
          <w:lang w:eastAsia="hr-HR"/>
        </w:rPr>
        <w:drawing>
          <wp:inline distT="0" distB="0" distL="0" distR="0">
            <wp:extent cx="2771775" cy="2181225"/>
            <wp:effectExtent l="0" t="0" r="9525" b="0"/>
            <wp:docPr id="13" name="Object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4"/>
                    <pic:cNvPicPr>
                      <a:picLocks noChangeArrowheads="1"/>
                    </pic:cNvPicPr>
                  </pic:nvPicPr>
                  <pic:blipFill>
                    <a:blip r:embed="rId21"/>
                    <a:srcRect t="-261" b="-232"/>
                    <a:stretch>
                      <a:fillRect/>
                    </a:stretch>
                  </pic:blipFill>
                  <pic:spPr bwMode="auto">
                    <a:xfrm>
                      <a:off x="0" y="0"/>
                      <a:ext cx="2771775" cy="2181225"/>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647950" cy="2238375"/>
            <wp:effectExtent l="19050" t="0" r="0" b="0"/>
            <wp:docPr id="14" name="Object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5"/>
                    <pic:cNvPicPr>
                      <a:picLocks noChangeArrowheads="1"/>
                    </pic:cNvPicPr>
                  </pic:nvPicPr>
                  <pic:blipFill>
                    <a:blip r:embed="rId22"/>
                    <a:srcRect t="-253" r="-72" b="-197"/>
                    <a:stretch>
                      <a:fillRect/>
                    </a:stretch>
                  </pic:blipFill>
                  <pic:spPr bwMode="auto">
                    <a:xfrm>
                      <a:off x="0" y="0"/>
                      <a:ext cx="2647950" cy="2238375"/>
                    </a:xfrm>
                    <a:prstGeom prst="rect">
                      <a:avLst/>
                    </a:prstGeom>
                    <a:noFill/>
                    <a:ln w="9525">
                      <a:noFill/>
                      <a:miter lim="800000"/>
                      <a:headEnd/>
                      <a:tailEnd/>
                    </a:ln>
                  </pic:spPr>
                </pic:pic>
              </a:graphicData>
            </a:graphic>
          </wp:inline>
        </w:drawing>
      </w:r>
    </w:p>
    <w:p w:rsidR="001646BE" w:rsidRPr="009667F6" w:rsidRDefault="001646BE" w:rsidP="00893C47">
      <w:pPr>
        <w:spacing w:after="0"/>
        <w:rPr>
          <w:b/>
          <w:bCs/>
          <w:sz w:val="20"/>
          <w:szCs w:val="20"/>
        </w:rPr>
      </w:pPr>
      <w:r>
        <w:rPr>
          <w:b/>
          <w:bCs/>
          <w:sz w:val="20"/>
          <w:szCs w:val="20"/>
        </w:rPr>
        <w:t xml:space="preserve">Grafikon 5: </w:t>
      </w:r>
      <w:r w:rsidRPr="009667F6">
        <w:rPr>
          <w:b/>
          <w:bCs/>
          <w:sz w:val="20"/>
          <w:szCs w:val="20"/>
        </w:rPr>
        <w:t>prom</w:t>
      </w:r>
      <w:r>
        <w:rPr>
          <w:b/>
          <w:bCs/>
          <w:sz w:val="20"/>
          <w:szCs w:val="20"/>
        </w:rPr>
        <w:t xml:space="preserve">jene nastale uspostavom FAB-a.     </w:t>
      </w:r>
      <w:r w:rsidRPr="009667F6">
        <w:rPr>
          <w:b/>
          <w:bCs/>
          <w:sz w:val="20"/>
          <w:szCs w:val="20"/>
        </w:rPr>
        <w:t xml:space="preserve"> </w:t>
      </w:r>
      <w:r>
        <w:rPr>
          <w:b/>
          <w:bCs/>
          <w:sz w:val="20"/>
          <w:szCs w:val="20"/>
        </w:rPr>
        <w:t xml:space="preserve">    Grafikon 6:</w:t>
      </w:r>
      <w:r w:rsidRPr="009667F6">
        <w:rPr>
          <w:b/>
          <w:bCs/>
          <w:sz w:val="20"/>
          <w:szCs w:val="20"/>
        </w:rPr>
        <w:t xml:space="preserve"> upravljanje FAB-om u fazi razvoja.</w:t>
      </w:r>
    </w:p>
    <w:p w:rsidR="001646BE" w:rsidRPr="006D118A" w:rsidRDefault="001646BE" w:rsidP="00893C47">
      <w:pPr>
        <w:spacing w:after="0"/>
        <w:rPr>
          <w:sz w:val="20"/>
          <w:szCs w:val="20"/>
        </w:rPr>
      </w:pPr>
      <w:r>
        <w:rPr>
          <w:sz w:val="20"/>
          <w:szCs w:val="20"/>
        </w:rPr>
        <w:t xml:space="preserve">Izvor: </w:t>
      </w:r>
      <w:r w:rsidRPr="00E2031E">
        <w:rPr>
          <w:sz w:val="20"/>
          <w:szCs w:val="20"/>
        </w:rPr>
        <w:t>Performance Review Comision:“Evaluation of FAB initiatives and their contribution to performance improvement“, Eurocontrol 2008.</w:t>
      </w:r>
    </w:p>
    <w:p w:rsidR="001646BE" w:rsidRDefault="001646BE" w:rsidP="00893C47">
      <w:pPr>
        <w:spacing w:after="0" w:line="240" w:lineRule="auto"/>
      </w:pPr>
      <w:r>
        <w:tab/>
      </w:r>
    </w:p>
    <w:p w:rsidR="001646BE" w:rsidRDefault="001646BE" w:rsidP="00893C47">
      <w:pPr>
        <w:ind w:firstLine="360"/>
      </w:pPr>
      <w:r>
        <w:t>Implementacija se očekuje do 2012. godine, dok se potpuna operativnost očekuje 2013. godine [17].</w:t>
      </w:r>
    </w:p>
    <w:p w:rsidR="001646BE" w:rsidRDefault="001646BE" w:rsidP="00893C47">
      <w:pPr>
        <w:ind w:firstLine="360"/>
      </w:pPr>
    </w:p>
    <w:p w:rsidR="001646BE" w:rsidRDefault="001646BE" w:rsidP="00893C47">
      <w:pPr>
        <w:ind w:firstLine="360"/>
      </w:pPr>
    </w:p>
    <w:p w:rsidR="001646BE" w:rsidRDefault="001646BE" w:rsidP="00893C47">
      <w:pPr>
        <w:rPr>
          <w:b/>
          <w:bCs/>
        </w:rPr>
      </w:pPr>
      <w:r>
        <w:rPr>
          <w:b/>
          <w:bCs/>
        </w:rPr>
        <w:lastRenderedPageBreak/>
        <w:t>FAB CENTRAL EUROPE</w:t>
      </w:r>
    </w:p>
    <w:p w:rsidR="001646BE" w:rsidRDefault="001646BE" w:rsidP="00893C47">
      <w:pPr>
        <w:ind w:firstLine="360"/>
      </w:pPr>
      <w:r>
        <w:t>Funkcionalni blok zračnog prostora Central Europe nasljedstvo je CEATS projekta, te se sastoji od sedam zemalja članica - Češka, Mađarska, Austrija, Slovačka, Hrvatska, Slovenija i BiH. Za razliku od projekta CEATS, FAB CE temelji se na efektivnoj primjeni postojeće infrastrukture te obuhvaća gornji i donji zračni prostor, a usluge u zračnoj plovidbi pružaju ANSP-i zemalja članica. Glavni prometni tokovi protežu se u pravcu istok-zapad, presjecajući pritom velik broj ANSP-a. Slika 8 prikazuje FAB CE i njegove glavne prometne tokove.</w:t>
      </w:r>
    </w:p>
    <w:p w:rsidR="001646BE" w:rsidRDefault="00E02CBE" w:rsidP="00893C47">
      <w:pPr>
        <w:spacing w:after="0"/>
        <w:ind w:firstLine="360"/>
      </w:pPr>
      <w:r>
        <w:rPr>
          <w:noProof/>
          <w:lang w:eastAsia="hr-HR"/>
        </w:rPr>
        <w:drawing>
          <wp:inline distT="0" distB="0" distL="0" distR="0">
            <wp:extent cx="4019550" cy="2847975"/>
            <wp:effectExtent l="19050" t="0" r="0" b="0"/>
            <wp:docPr id="1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a:srcRect/>
                    <a:stretch>
                      <a:fillRect/>
                    </a:stretch>
                  </pic:blipFill>
                  <pic:spPr bwMode="auto">
                    <a:xfrm>
                      <a:off x="0" y="0"/>
                      <a:ext cx="4019550" cy="2847975"/>
                    </a:xfrm>
                    <a:prstGeom prst="rect">
                      <a:avLst/>
                    </a:prstGeom>
                    <a:noFill/>
                    <a:ln w="9525">
                      <a:noFill/>
                      <a:miter lim="800000"/>
                      <a:headEnd/>
                      <a:tailEnd/>
                    </a:ln>
                  </pic:spPr>
                </pic:pic>
              </a:graphicData>
            </a:graphic>
          </wp:inline>
        </w:drawing>
      </w:r>
    </w:p>
    <w:p w:rsidR="001646BE" w:rsidRPr="00EA376D" w:rsidRDefault="001646BE" w:rsidP="00893C47">
      <w:pPr>
        <w:spacing w:after="0"/>
        <w:ind w:firstLine="360"/>
        <w:rPr>
          <w:b/>
          <w:bCs/>
          <w:sz w:val="20"/>
          <w:szCs w:val="20"/>
        </w:rPr>
      </w:pPr>
      <w:r w:rsidRPr="00EA376D">
        <w:rPr>
          <w:b/>
          <w:bCs/>
          <w:sz w:val="20"/>
          <w:szCs w:val="20"/>
        </w:rPr>
        <w:t>Slika 8: FAB Central Europe i njegovi glavni prometni tokovi.</w:t>
      </w:r>
    </w:p>
    <w:p w:rsidR="001646BE" w:rsidRDefault="001646BE" w:rsidP="00893C47">
      <w:pPr>
        <w:spacing w:after="0"/>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line="240" w:lineRule="auto"/>
      </w:pPr>
    </w:p>
    <w:p w:rsidR="001646BE" w:rsidRDefault="001646BE" w:rsidP="00893C47">
      <w:pPr>
        <w:ind w:firstLine="360"/>
      </w:pPr>
      <w:r>
        <w:t>S obzirom na velik broj članica i ANSP-a, postoje značajne razlike između operativnih koncepata članica, što može stvarati poteškoće prilikom uspostave FAB-a. Razvijena su tri scenarija ustroja: inicijalni scenarij, scenarij statičkog područja odgovornosti i scenarij dinamičkog područja odgovornosti. Inicijalni scenarij potiče blisku suradnju članica u svim domenama s fokusom na ispunjavanje zahtjeva SES legislative i uspostavom potrebnih okvira za ustroj FAB-a, scenarij statičkog područja odgovornosti sastoji se od regionalne suradnje u pružanju ATS-a, centraliziranog planiranja te uspostave međugraničnih sektora, dok se scenarij dinamičkog područja odgovornosti sastoji u optimizaciji tehničkih i ljudskih resursa. Studija isplativosti (CBA) ne očekuje poboljšanja od inicijalnog scenarija tj. sve do 2014. godine. Glavnina dobiti trebala bi se ostvariti smanjenjem kašnjenja i povećanjem efikasnosti. Opći podaci o FAB-u CE prezentirani su u tablici 5</w:t>
      </w:r>
      <w:r w:rsidRPr="003D5096">
        <w:t xml:space="preserve"> </w:t>
      </w:r>
      <w:r>
        <w:t>[</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Pr="0031323B" w:rsidRDefault="001646BE" w:rsidP="00893C47">
      <w:pPr>
        <w:spacing w:after="0" w:line="240" w:lineRule="auto"/>
        <w:rPr>
          <w:b/>
          <w:bCs/>
          <w:sz w:val="20"/>
          <w:szCs w:val="20"/>
        </w:rPr>
      </w:pPr>
      <w:r w:rsidRPr="0031323B">
        <w:rPr>
          <w:b/>
          <w:bCs/>
          <w:sz w:val="20"/>
          <w:szCs w:val="20"/>
        </w:rPr>
        <w:lastRenderedPageBreak/>
        <w:t>Ta</w:t>
      </w:r>
      <w:r>
        <w:rPr>
          <w:b/>
          <w:bCs/>
          <w:sz w:val="20"/>
          <w:szCs w:val="20"/>
        </w:rPr>
        <w:t xml:space="preserve">blica 5: opći podaci o FAB-u </w:t>
      </w:r>
      <w:r w:rsidRPr="0031323B">
        <w:rPr>
          <w:b/>
          <w:bCs/>
          <w:sz w:val="20"/>
          <w:szCs w:val="20"/>
        </w:rPr>
        <w:t>Central Europe</w:t>
      </w:r>
    </w:p>
    <w:tbl>
      <w:tblPr>
        <w:tblW w:w="91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7"/>
        <w:gridCol w:w="1158"/>
        <w:gridCol w:w="682"/>
        <w:gridCol w:w="1019"/>
        <w:gridCol w:w="892"/>
        <w:gridCol w:w="801"/>
        <w:gridCol w:w="1138"/>
        <w:gridCol w:w="1041"/>
        <w:gridCol w:w="1094"/>
      </w:tblGrid>
      <w:tr w:rsidR="001646BE" w:rsidRPr="003A4F00">
        <w:trPr>
          <w:trHeight w:val="1260"/>
        </w:trPr>
        <w:tc>
          <w:tcPr>
            <w:tcW w:w="1357" w:type="dxa"/>
            <w:vAlign w:val="center"/>
          </w:tcPr>
          <w:p w:rsidR="001646BE" w:rsidRPr="003A4F00" w:rsidRDefault="001646BE" w:rsidP="003A4F00">
            <w:pPr>
              <w:spacing w:after="0" w:line="240" w:lineRule="auto"/>
              <w:jc w:val="center"/>
              <w:rPr>
                <w:b/>
                <w:bCs/>
                <w:color w:val="000000"/>
                <w:sz w:val="20"/>
                <w:szCs w:val="20"/>
              </w:rPr>
            </w:pPr>
          </w:p>
        </w:tc>
        <w:tc>
          <w:tcPr>
            <w:tcW w:w="115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VELIčINA ZRAČNOG PROSTORA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(000km²)</w:t>
            </w:r>
          </w:p>
        </w:tc>
        <w:tc>
          <w:tcPr>
            <w:tcW w:w="68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SATI LETA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(mil)</w:t>
            </w:r>
          </w:p>
        </w:tc>
        <w:tc>
          <w:tcPr>
            <w:tcW w:w="1019"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(mlrd  EUR)</w:t>
            </w:r>
          </w:p>
        </w:tc>
        <w:tc>
          <w:tcPr>
            <w:tcW w:w="89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SEKTORI</w:t>
            </w:r>
          </w:p>
        </w:tc>
        <w:tc>
          <w:tcPr>
            <w:tcW w:w="80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BROJ ACC-a</w:t>
            </w:r>
          </w:p>
        </w:tc>
        <w:tc>
          <w:tcPr>
            <w:tcW w:w="113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ATFM KAŠNJENJE</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(min  / satu leta)</w:t>
            </w:r>
          </w:p>
        </w:tc>
        <w:tc>
          <w:tcPr>
            <w:tcW w:w="104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ATCO</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c>
          <w:tcPr>
            <w:tcW w:w="1094"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 PRUŽANJA USLUGA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r>
      <w:tr w:rsidR="001646BE" w:rsidRPr="003A4F00">
        <w:trPr>
          <w:trHeight w:val="378"/>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FAB</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488</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1,1</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0,4</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43</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6</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1,32</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95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360</w:t>
            </w:r>
          </w:p>
        </w:tc>
      </w:tr>
      <w:tr w:rsidR="001646BE" w:rsidRPr="003A4F00">
        <w:trPr>
          <w:trHeight w:val="393"/>
        </w:trPr>
        <w:tc>
          <w:tcPr>
            <w:tcW w:w="1357" w:type="dxa"/>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tc>
        <w:tc>
          <w:tcPr>
            <w:tcW w:w="1158" w:type="dxa"/>
            <w:vAlign w:val="center"/>
          </w:tcPr>
          <w:p w:rsidR="001646BE" w:rsidRPr="003A4F00" w:rsidRDefault="00EA745D" w:rsidP="003A4F00">
            <w:pPr>
              <w:spacing w:after="0" w:line="240" w:lineRule="auto"/>
              <w:jc w:val="center"/>
              <w:rPr>
                <w:color w:val="000000"/>
              </w:rPr>
            </w:pPr>
            <w:r>
              <w:rPr>
                <w:color w:val="000000"/>
                <w:sz w:val="22"/>
                <w:szCs w:val="22"/>
              </w:rPr>
              <w:t>17.</w:t>
            </w:r>
            <w:r w:rsidR="001646BE" w:rsidRPr="003A4F00">
              <w:rPr>
                <w:color w:val="000000"/>
                <w:sz w:val="22"/>
                <w:szCs w:val="22"/>
              </w:rPr>
              <w:t>483</w:t>
            </w:r>
          </w:p>
        </w:tc>
        <w:tc>
          <w:tcPr>
            <w:tcW w:w="682" w:type="dxa"/>
            <w:vAlign w:val="center"/>
          </w:tcPr>
          <w:p w:rsidR="001646BE" w:rsidRPr="003A4F00" w:rsidRDefault="001646BE" w:rsidP="003A4F00">
            <w:pPr>
              <w:spacing w:after="0" w:line="240" w:lineRule="auto"/>
              <w:jc w:val="center"/>
              <w:rPr>
                <w:color w:val="000000"/>
              </w:rPr>
            </w:pPr>
            <w:r w:rsidRPr="003A4F00">
              <w:rPr>
                <w:color w:val="000000"/>
                <w:sz w:val="22"/>
                <w:szCs w:val="22"/>
              </w:rPr>
              <w:t>16,4</w:t>
            </w:r>
          </w:p>
        </w:tc>
        <w:tc>
          <w:tcPr>
            <w:tcW w:w="1019" w:type="dxa"/>
            <w:vAlign w:val="center"/>
          </w:tcPr>
          <w:p w:rsidR="001646BE" w:rsidRPr="003A4F00" w:rsidRDefault="001646BE" w:rsidP="003A4F00">
            <w:pPr>
              <w:spacing w:after="0" w:line="240" w:lineRule="auto"/>
              <w:jc w:val="center"/>
              <w:rPr>
                <w:color w:val="000000"/>
              </w:rPr>
            </w:pPr>
            <w:r w:rsidRPr="003A4F00">
              <w:rPr>
                <w:color w:val="000000"/>
                <w:sz w:val="22"/>
                <w:szCs w:val="22"/>
              </w:rPr>
              <w:t>6,5</w:t>
            </w:r>
          </w:p>
        </w:tc>
        <w:tc>
          <w:tcPr>
            <w:tcW w:w="892" w:type="dxa"/>
            <w:vAlign w:val="center"/>
          </w:tcPr>
          <w:p w:rsidR="001646BE" w:rsidRPr="003A4F00" w:rsidRDefault="001646BE" w:rsidP="003A4F00">
            <w:pPr>
              <w:spacing w:after="0" w:line="240" w:lineRule="auto"/>
              <w:jc w:val="center"/>
              <w:rPr>
                <w:color w:val="000000"/>
              </w:rPr>
            </w:pPr>
            <w:r w:rsidRPr="003A4F00">
              <w:rPr>
                <w:color w:val="000000"/>
                <w:sz w:val="22"/>
                <w:szCs w:val="22"/>
              </w:rPr>
              <w:t>622</w:t>
            </w:r>
          </w:p>
        </w:tc>
        <w:tc>
          <w:tcPr>
            <w:tcW w:w="801" w:type="dxa"/>
            <w:vAlign w:val="center"/>
          </w:tcPr>
          <w:p w:rsidR="001646BE" w:rsidRPr="003A4F00" w:rsidRDefault="001646BE" w:rsidP="003A4F00">
            <w:pPr>
              <w:spacing w:after="0" w:line="240" w:lineRule="auto"/>
              <w:jc w:val="center"/>
              <w:rPr>
                <w:color w:val="000000"/>
              </w:rPr>
            </w:pPr>
            <w:r w:rsidRPr="003A4F00">
              <w:rPr>
                <w:color w:val="000000"/>
                <w:sz w:val="22"/>
                <w:szCs w:val="22"/>
              </w:rPr>
              <w:t>59</w:t>
            </w:r>
          </w:p>
        </w:tc>
        <w:tc>
          <w:tcPr>
            <w:tcW w:w="1138"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41"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94"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r>
      <w:tr w:rsidR="001646BE" w:rsidRPr="003A4F00">
        <w:trPr>
          <w:trHeight w:val="696"/>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p w:rsidR="001646BE" w:rsidRPr="003A4F00" w:rsidRDefault="001646BE" w:rsidP="003A4F00">
            <w:pPr>
              <w:spacing w:after="0" w:line="240" w:lineRule="auto"/>
              <w:jc w:val="center"/>
              <w:rPr>
                <w:b/>
                <w:bCs/>
                <w:color w:val="000000"/>
                <w:sz w:val="20"/>
                <w:szCs w:val="20"/>
              </w:rPr>
            </w:pPr>
            <w:r w:rsidRPr="003A4F00">
              <w:rPr>
                <w:color w:val="000000"/>
                <w:sz w:val="20"/>
                <w:szCs w:val="20"/>
              </w:rPr>
              <w:t>PROSJEK</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bl>
    <w:p w:rsidR="001646BE" w:rsidRDefault="001646BE" w:rsidP="00893C47">
      <w:pPr>
        <w:rPr>
          <w:sz w:val="20"/>
          <w:szCs w:val="20"/>
        </w:rPr>
      </w:pPr>
      <w:r w:rsidRPr="00E2031E">
        <w:rPr>
          <w:sz w:val="20"/>
          <w:szCs w:val="20"/>
        </w:rPr>
        <w:t>Izvor: Performance Review Com</w:t>
      </w:r>
      <w:r>
        <w:rPr>
          <w:sz w:val="20"/>
          <w:szCs w:val="20"/>
        </w:rPr>
        <w:t>m</w:t>
      </w:r>
      <w:r w:rsidRPr="00E2031E">
        <w:rPr>
          <w:sz w:val="20"/>
          <w:szCs w:val="20"/>
        </w:rPr>
        <w:t>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ind w:firstLine="360"/>
      </w:pPr>
      <w:r>
        <w:t>Promjene koje uspostava FAB-a donosi, a koje se tiču konfiguracije zračnog prostora, civilno-vojne suradnje, dizajna ruta i sektora, sigurnosti, naplate usluga, ATM sustava i obuke zaposlenih, prikazane su grafikonom 7. Operiranje i upravljanje FAB-om tijekom faze razvoja te metode postizanja željenih ciljeva, u pogledu kooperacije s ostalim FAB-ovima, procesa donošenja odluka, socijalnog dijaloga, uključenosti država i korisnika zračnog prostora, prikazano je na grafikonu 8.</w:t>
      </w:r>
    </w:p>
    <w:p w:rsidR="001646BE" w:rsidRDefault="001646BE" w:rsidP="00893C47">
      <w:pPr>
        <w:spacing w:after="0"/>
      </w:pPr>
    </w:p>
    <w:p w:rsidR="001646BE" w:rsidRDefault="00E02CBE" w:rsidP="00893C47">
      <w:pPr>
        <w:spacing w:after="0"/>
      </w:pPr>
      <w:r>
        <w:rPr>
          <w:noProof/>
          <w:lang w:eastAsia="hr-HR"/>
        </w:rPr>
        <w:drawing>
          <wp:inline distT="0" distB="0" distL="0" distR="0">
            <wp:extent cx="2733675" cy="2076450"/>
            <wp:effectExtent l="19050" t="0" r="9525" b="0"/>
            <wp:docPr id="16" name="Object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8"/>
                    <pic:cNvPicPr>
                      <a:picLocks noChangeArrowheads="1"/>
                    </pic:cNvPicPr>
                  </pic:nvPicPr>
                  <pic:blipFill>
                    <a:blip r:embed="rId24"/>
                    <a:srcRect t="-272" b="-391"/>
                    <a:stretch>
                      <a:fillRect/>
                    </a:stretch>
                  </pic:blipFill>
                  <pic:spPr bwMode="auto">
                    <a:xfrm>
                      <a:off x="0" y="0"/>
                      <a:ext cx="2733675" cy="2076450"/>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790825" cy="2095500"/>
            <wp:effectExtent l="19050" t="0" r="9525" b="0"/>
            <wp:docPr id="17" name="Object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0"/>
                    <pic:cNvPicPr>
                      <a:picLocks noChangeArrowheads="1"/>
                    </pic:cNvPicPr>
                  </pic:nvPicPr>
                  <pic:blipFill>
                    <a:blip r:embed="rId25"/>
                    <a:srcRect t="-272" b="-212"/>
                    <a:stretch>
                      <a:fillRect/>
                    </a:stretch>
                  </pic:blipFill>
                  <pic:spPr bwMode="auto">
                    <a:xfrm>
                      <a:off x="0" y="0"/>
                      <a:ext cx="2790825" cy="2095500"/>
                    </a:xfrm>
                    <a:prstGeom prst="rect">
                      <a:avLst/>
                    </a:prstGeom>
                    <a:noFill/>
                    <a:ln w="9525">
                      <a:noFill/>
                      <a:miter lim="800000"/>
                      <a:headEnd/>
                      <a:tailEnd/>
                    </a:ln>
                  </pic:spPr>
                </pic:pic>
              </a:graphicData>
            </a:graphic>
          </wp:inline>
        </w:drawing>
      </w:r>
    </w:p>
    <w:p w:rsidR="001646BE" w:rsidRPr="0031323B" w:rsidRDefault="001646BE" w:rsidP="00893C47">
      <w:pPr>
        <w:spacing w:after="0"/>
        <w:rPr>
          <w:b/>
          <w:bCs/>
          <w:sz w:val="20"/>
          <w:szCs w:val="20"/>
        </w:rPr>
      </w:pPr>
      <w:r w:rsidRPr="0031323B">
        <w:rPr>
          <w:b/>
          <w:bCs/>
          <w:sz w:val="20"/>
          <w:szCs w:val="20"/>
        </w:rPr>
        <w:t>Grafikon 7</w:t>
      </w:r>
      <w:r>
        <w:rPr>
          <w:b/>
          <w:bCs/>
          <w:sz w:val="20"/>
          <w:szCs w:val="20"/>
        </w:rPr>
        <w:t xml:space="preserve">: </w:t>
      </w:r>
      <w:r w:rsidRPr="0031323B">
        <w:rPr>
          <w:b/>
          <w:bCs/>
          <w:sz w:val="20"/>
          <w:szCs w:val="20"/>
        </w:rPr>
        <w:t>promjene nastale uspostavo</w:t>
      </w:r>
      <w:r>
        <w:rPr>
          <w:b/>
          <w:bCs/>
          <w:sz w:val="20"/>
          <w:szCs w:val="20"/>
        </w:rPr>
        <w:t>m FAB-a.       Grafikon</w:t>
      </w:r>
      <w:r w:rsidRPr="0031323B">
        <w:rPr>
          <w:b/>
          <w:bCs/>
          <w:sz w:val="20"/>
          <w:szCs w:val="20"/>
        </w:rPr>
        <w:t xml:space="preserve"> </w:t>
      </w:r>
      <w:r>
        <w:rPr>
          <w:b/>
          <w:bCs/>
          <w:sz w:val="20"/>
          <w:szCs w:val="20"/>
        </w:rPr>
        <w:t xml:space="preserve">8: </w:t>
      </w:r>
      <w:r w:rsidRPr="0031323B">
        <w:rPr>
          <w:b/>
          <w:bCs/>
          <w:sz w:val="20"/>
          <w:szCs w:val="20"/>
        </w:rPr>
        <w:t>upravljanje FAB-om u fazi razvoja.</w:t>
      </w:r>
    </w:p>
    <w:p w:rsidR="001646BE" w:rsidRPr="006D118A" w:rsidRDefault="001646BE" w:rsidP="00893C47">
      <w:pPr>
        <w:spacing w:after="0"/>
        <w:rPr>
          <w:sz w:val="20"/>
          <w:szCs w:val="20"/>
        </w:rPr>
      </w:pPr>
      <w:r>
        <w:rPr>
          <w:sz w:val="20"/>
          <w:szCs w:val="20"/>
        </w:rPr>
        <w:t xml:space="preserve">Izvor: </w:t>
      </w:r>
      <w:r w:rsidRPr="00E2031E">
        <w:rPr>
          <w:sz w:val="20"/>
          <w:szCs w:val="20"/>
        </w:rPr>
        <w:t>Performance Review Comision: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spacing w:after="0"/>
      </w:pPr>
    </w:p>
    <w:p w:rsidR="001646BE" w:rsidRDefault="001646BE" w:rsidP="00893C47">
      <w:pPr>
        <w:ind w:firstLine="360"/>
      </w:pPr>
      <w:r>
        <w:t>Početak operacija za inicijalni scenarij očekuje se nakon 2010. godine, za scenarij statičkog područja odgovornosti nakon 2012. godine, a za scenarij dinamičkog područja odgovornosti nakon 2017. godine [17].</w:t>
      </w:r>
    </w:p>
    <w:p w:rsidR="001646BE" w:rsidRDefault="001646BE" w:rsidP="00893C47">
      <w:pPr>
        <w:ind w:firstLine="360"/>
      </w:pPr>
    </w:p>
    <w:p w:rsidR="001646BE" w:rsidRDefault="001646BE" w:rsidP="00893C47">
      <w:pPr>
        <w:rPr>
          <w:b/>
          <w:bCs/>
        </w:rPr>
      </w:pPr>
      <w:r>
        <w:rPr>
          <w:b/>
          <w:bCs/>
        </w:rPr>
        <w:lastRenderedPageBreak/>
        <w:t>FAB EUROPE CENTRAL</w:t>
      </w:r>
    </w:p>
    <w:p w:rsidR="001646BE" w:rsidRPr="00346BEF" w:rsidRDefault="001646BE" w:rsidP="00893C47">
      <w:pPr>
        <w:ind w:firstLine="360"/>
      </w:pPr>
      <w:r>
        <w:t>Funkcionalni blok zračnog prostora Europe Central sastoji se od šest zemalja članica - Francuska, Njemačka, Švicarska, Belgija, Nizozemska, Luksemburg i UK kao partner. Obuhvaća najprometniji zračni prostor u Europi koji uključuje tri međunarodne hub zračne luke (Paris, Amsterdam i Frankfurt) te se nalazi u neposrednoj blizini londonskih zračnih luka i tokova prema Americi. Također, u FAB-u EC nalazi se i MUAC. Slika 9 prikazuje glavne tokove FAB-a EC smještenog u središtu Europe.</w:t>
      </w:r>
    </w:p>
    <w:p w:rsidR="001646BE" w:rsidRDefault="00E02CBE" w:rsidP="00893C47">
      <w:pPr>
        <w:spacing w:after="0"/>
        <w:ind w:firstLine="426"/>
        <w:rPr>
          <w:b/>
          <w:bCs/>
        </w:rPr>
      </w:pPr>
      <w:r>
        <w:rPr>
          <w:noProof/>
          <w:lang w:eastAsia="hr-HR"/>
        </w:rPr>
        <w:drawing>
          <wp:inline distT="0" distB="0" distL="0" distR="0">
            <wp:extent cx="4067175" cy="3057525"/>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srcRect/>
                    <a:stretch>
                      <a:fillRect/>
                    </a:stretch>
                  </pic:blipFill>
                  <pic:spPr bwMode="auto">
                    <a:xfrm>
                      <a:off x="0" y="0"/>
                      <a:ext cx="4067175" cy="3057525"/>
                    </a:xfrm>
                    <a:prstGeom prst="rect">
                      <a:avLst/>
                    </a:prstGeom>
                    <a:noFill/>
                    <a:ln w="9525">
                      <a:noFill/>
                      <a:miter lim="800000"/>
                      <a:headEnd/>
                      <a:tailEnd/>
                    </a:ln>
                  </pic:spPr>
                </pic:pic>
              </a:graphicData>
            </a:graphic>
          </wp:inline>
        </w:drawing>
      </w:r>
    </w:p>
    <w:p w:rsidR="001646BE" w:rsidRPr="003C2099" w:rsidRDefault="001646BE" w:rsidP="00893C47">
      <w:pPr>
        <w:spacing w:after="0"/>
        <w:ind w:firstLine="360"/>
        <w:rPr>
          <w:b/>
          <w:bCs/>
          <w:sz w:val="20"/>
          <w:szCs w:val="20"/>
        </w:rPr>
      </w:pPr>
      <w:r w:rsidRPr="003C2099">
        <w:rPr>
          <w:b/>
          <w:bCs/>
          <w:sz w:val="20"/>
          <w:szCs w:val="20"/>
        </w:rPr>
        <w:t xml:space="preserve">Slika 9: </w:t>
      </w:r>
      <w:r>
        <w:rPr>
          <w:b/>
          <w:bCs/>
          <w:sz w:val="20"/>
          <w:szCs w:val="20"/>
        </w:rPr>
        <w:t xml:space="preserve">FAB </w:t>
      </w:r>
      <w:r w:rsidRPr="003C2099">
        <w:rPr>
          <w:b/>
          <w:bCs/>
          <w:sz w:val="20"/>
          <w:szCs w:val="20"/>
        </w:rPr>
        <w:t>Europe Central i njegovi glavni prometni tokovi.</w:t>
      </w:r>
    </w:p>
    <w:p w:rsidR="001646BE" w:rsidRDefault="001646BE" w:rsidP="00893C47">
      <w:pPr>
        <w:spacing w:after="0"/>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line="240" w:lineRule="auto"/>
        <w:ind w:left="360"/>
        <w:rPr>
          <w:sz w:val="20"/>
          <w:szCs w:val="20"/>
        </w:rPr>
      </w:pPr>
    </w:p>
    <w:p w:rsidR="001646BE" w:rsidRDefault="001646BE" w:rsidP="00893C47">
      <w:pPr>
        <w:ind w:firstLine="360"/>
      </w:pPr>
      <w:r>
        <w:t>Postoje znatne različitosti u pogledu operativnih koncepata ANSP-a unutar FAB-a, što može stvarati poteškoće prilikom ustroja. Redizajn zračnog prostora planiran je u tri faze. Prva faza (2008. - 2013.) trebala bi razriješiti kritične točke koje se javljaju u FAB-u EC, druga faza (2014. - 2018.) trebala bi preraspodijeliti sektore i optimizirati vojne zone, dok bi treća faza uspostavila rute u vrlo visokom zračnom prostoru (ne prije 2018.). Planira se uvesti i jedinstvena zona naplate usluga, dok bi glavnina poboljšanja trebala proizaći iz efikasnosti letova, smanjenja kašnjenja i smanjenja razine neispunjenih zahtjeva. Europe Central je najambicioznija inicijativa u pogledu opsega i kompleksnosti zračnog prostora, što znači da su eventualni dobici i poboljšanja golemi. Prema CBA analizi ostvarena dobit u 2013. godini iznositi će 260 mil. eura.</w:t>
      </w:r>
      <w:r w:rsidRPr="00A9431D">
        <w:t xml:space="preserve"> </w:t>
      </w:r>
      <w:r>
        <w:t>Opći podaci o FAB-u EC prezentirani su u tablici 6.</w:t>
      </w:r>
    </w:p>
    <w:p w:rsidR="001646BE" w:rsidRPr="00F94FF7" w:rsidRDefault="001646BE" w:rsidP="00893C47">
      <w:pPr>
        <w:spacing w:after="0" w:line="240" w:lineRule="auto"/>
        <w:rPr>
          <w:b/>
          <w:bCs/>
          <w:sz w:val="20"/>
          <w:szCs w:val="20"/>
        </w:rPr>
      </w:pPr>
      <w:r>
        <w:rPr>
          <w:b/>
          <w:bCs/>
          <w:sz w:val="20"/>
          <w:szCs w:val="20"/>
        </w:rPr>
        <w:lastRenderedPageBreak/>
        <w:t xml:space="preserve">Tablica 6: </w:t>
      </w:r>
      <w:r w:rsidRPr="00F94FF7">
        <w:rPr>
          <w:b/>
          <w:bCs/>
          <w:sz w:val="20"/>
          <w:szCs w:val="20"/>
        </w:rPr>
        <w:t>opći podaci o FAB-u Europe Central</w:t>
      </w:r>
    </w:p>
    <w:tbl>
      <w:tblPr>
        <w:tblW w:w="91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7"/>
        <w:gridCol w:w="1158"/>
        <w:gridCol w:w="682"/>
        <w:gridCol w:w="1019"/>
        <w:gridCol w:w="892"/>
        <w:gridCol w:w="801"/>
        <w:gridCol w:w="1138"/>
        <w:gridCol w:w="1041"/>
        <w:gridCol w:w="1094"/>
      </w:tblGrid>
      <w:tr w:rsidR="001646BE" w:rsidRPr="003A4F00">
        <w:trPr>
          <w:trHeight w:val="1260"/>
        </w:trPr>
        <w:tc>
          <w:tcPr>
            <w:tcW w:w="1357" w:type="dxa"/>
            <w:vAlign w:val="center"/>
          </w:tcPr>
          <w:p w:rsidR="001646BE" w:rsidRPr="003A4F00" w:rsidRDefault="001646BE" w:rsidP="003A4F00">
            <w:pPr>
              <w:spacing w:after="0" w:line="240" w:lineRule="auto"/>
              <w:jc w:val="center"/>
              <w:rPr>
                <w:b/>
                <w:bCs/>
                <w:color w:val="000000"/>
                <w:sz w:val="20"/>
                <w:szCs w:val="20"/>
              </w:rPr>
            </w:pPr>
          </w:p>
        </w:tc>
        <w:tc>
          <w:tcPr>
            <w:tcW w:w="115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VELIčINA ZRAČNOG PROSTORA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(000km²)</w:t>
            </w:r>
          </w:p>
        </w:tc>
        <w:tc>
          <w:tcPr>
            <w:tcW w:w="68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SATI LETA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(mil)</w:t>
            </w:r>
          </w:p>
        </w:tc>
        <w:tc>
          <w:tcPr>
            <w:tcW w:w="1019"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(mlrd  EUR)</w:t>
            </w:r>
          </w:p>
        </w:tc>
        <w:tc>
          <w:tcPr>
            <w:tcW w:w="89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SEKTORI</w:t>
            </w:r>
          </w:p>
        </w:tc>
        <w:tc>
          <w:tcPr>
            <w:tcW w:w="80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BROJ ACC-a</w:t>
            </w:r>
          </w:p>
        </w:tc>
        <w:tc>
          <w:tcPr>
            <w:tcW w:w="113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ATFM KAŠNJENJE</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(min  / satu leta)</w:t>
            </w:r>
          </w:p>
        </w:tc>
        <w:tc>
          <w:tcPr>
            <w:tcW w:w="104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ATCO</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c>
          <w:tcPr>
            <w:tcW w:w="1094"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 PRUŽANJA USLUGA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r>
      <w:tr w:rsidR="001646BE" w:rsidRPr="003A4F00">
        <w:trPr>
          <w:trHeight w:val="378"/>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FAB</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1553</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6</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2,4</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248</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15</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0,84</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103</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399</w:t>
            </w:r>
          </w:p>
        </w:tc>
      </w:tr>
      <w:tr w:rsidR="001646BE" w:rsidRPr="003A4F00">
        <w:trPr>
          <w:trHeight w:val="393"/>
        </w:trPr>
        <w:tc>
          <w:tcPr>
            <w:tcW w:w="1357" w:type="dxa"/>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tc>
        <w:tc>
          <w:tcPr>
            <w:tcW w:w="1158" w:type="dxa"/>
            <w:vAlign w:val="center"/>
          </w:tcPr>
          <w:p w:rsidR="001646BE" w:rsidRPr="003A4F00" w:rsidRDefault="00EA745D" w:rsidP="003A4F00">
            <w:pPr>
              <w:spacing w:after="0" w:line="240" w:lineRule="auto"/>
              <w:jc w:val="center"/>
              <w:rPr>
                <w:color w:val="000000"/>
              </w:rPr>
            </w:pPr>
            <w:r>
              <w:rPr>
                <w:color w:val="000000"/>
                <w:sz w:val="22"/>
                <w:szCs w:val="22"/>
              </w:rPr>
              <w:t>17.</w:t>
            </w:r>
            <w:r w:rsidR="001646BE" w:rsidRPr="003A4F00">
              <w:rPr>
                <w:color w:val="000000"/>
                <w:sz w:val="22"/>
                <w:szCs w:val="22"/>
              </w:rPr>
              <w:t>483</w:t>
            </w:r>
          </w:p>
        </w:tc>
        <w:tc>
          <w:tcPr>
            <w:tcW w:w="682" w:type="dxa"/>
            <w:vAlign w:val="center"/>
          </w:tcPr>
          <w:p w:rsidR="001646BE" w:rsidRPr="003A4F00" w:rsidRDefault="001646BE" w:rsidP="003A4F00">
            <w:pPr>
              <w:spacing w:after="0" w:line="240" w:lineRule="auto"/>
              <w:jc w:val="center"/>
              <w:rPr>
                <w:color w:val="000000"/>
              </w:rPr>
            </w:pPr>
            <w:r w:rsidRPr="003A4F00">
              <w:rPr>
                <w:color w:val="000000"/>
                <w:sz w:val="22"/>
                <w:szCs w:val="22"/>
              </w:rPr>
              <w:t>16,4</w:t>
            </w:r>
          </w:p>
        </w:tc>
        <w:tc>
          <w:tcPr>
            <w:tcW w:w="1019" w:type="dxa"/>
            <w:vAlign w:val="center"/>
          </w:tcPr>
          <w:p w:rsidR="001646BE" w:rsidRPr="003A4F00" w:rsidRDefault="001646BE" w:rsidP="003A4F00">
            <w:pPr>
              <w:spacing w:after="0" w:line="240" w:lineRule="auto"/>
              <w:jc w:val="center"/>
              <w:rPr>
                <w:color w:val="000000"/>
              </w:rPr>
            </w:pPr>
            <w:r w:rsidRPr="003A4F00">
              <w:rPr>
                <w:color w:val="000000"/>
                <w:sz w:val="22"/>
                <w:szCs w:val="22"/>
              </w:rPr>
              <w:t>6,5</w:t>
            </w:r>
          </w:p>
        </w:tc>
        <w:tc>
          <w:tcPr>
            <w:tcW w:w="892" w:type="dxa"/>
            <w:vAlign w:val="center"/>
          </w:tcPr>
          <w:p w:rsidR="001646BE" w:rsidRPr="003A4F00" w:rsidRDefault="001646BE" w:rsidP="003A4F00">
            <w:pPr>
              <w:spacing w:after="0" w:line="240" w:lineRule="auto"/>
              <w:jc w:val="center"/>
              <w:rPr>
                <w:color w:val="000000"/>
              </w:rPr>
            </w:pPr>
            <w:r w:rsidRPr="003A4F00">
              <w:rPr>
                <w:color w:val="000000"/>
                <w:sz w:val="22"/>
                <w:szCs w:val="22"/>
              </w:rPr>
              <w:t>622</w:t>
            </w:r>
          </w:p>
        </w:tc>
        <w:tc>
          <w:tcPr>
            <w:tcW w:w="801" w:type="dxa"/>
            <w:vAlign w:val="center"/>
          </w:tcPr>
          <w:p w:rsidR="001646BE" w:rsidRPr="003A4F00" w:rsidRDefault="001646BE" w:rsidP="003A4F00">
            <w:pPr>
              <w:spacing w:after="0" w:line="240" w:lineRule="auto"/>
              <w:jc w:val="center"/>
              <w:rPr>
                <w:color w:val="000000"/>
              </w:rPr>
            </w:pPr>
            <w:r w:rsidRPr="003A4F00">
              <w:rPr>
                <w:color w:val="000000"/>
                <w:sz w:val="22"/>
                <w:szCs w:val="22"/>
              </w:rPr>
              <w:t>59</w:t>
            </w:r>
          </w:p>
        </w:tc>
        <w:tc>
          <w:tcPr>
            <w:tcW w:w="1138"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41"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94"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r>
      <w:tr w:rsidR="001646BE" w:rsidRPr="003A4F00">
        <w:trPr>
          <w:trHeight w:val="696"/>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p w:rsidR="001646BE" w:rsidRPr="003A4F00" w:rsidRDefault="001646BE" w:rsidP="003A4F00">
            <w:pPr>
              <w:spacing w:after="0" w:line="240" w:lineRule="auto"/>
              <w:jc w:val="center"/>
              <w:rPr>
                <w:b/>
                <w:bCs/>
                <w:color w:val="000000"/>
                <w:sz w:val="20"/>
                <w:szCs w:val="20"/>
              </w:rPr>
            </w:pPr>
            <w:r w:rsidRPr="003A4F00">
              <w:rPr>
                <w:color w:val="000000"/>
                <w:sz w:val="20"/>
                <w:szCs w:val="20"/>
              </w:rPr>
              <w:t>PROSJEK</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bl>
    <w:p w:rsidR="001646BE" w:rsidRPr="002C2367" w:rsidRDefault="001646BE" w:rsidP="00893C47">
      <w:pPr>
        <w:rPr>
          <w:sz w:val="20"/>
          <w:szCs w:val="20"/>
        </w:rPr>
      </w:pPr>
      <w:r w:rsidRPr="00E2031E">
        <w:rPr>
          <w:sz w:val="20"/>
          <w:szCs w:val="20"/>
        </w:rPr>
        <w:t>Izvor: Performance Review Com</w:t>
      </w:r>
      <w:r>
        <w:rPr>
          <w:sz w:val="20"/>
          <w:szCs w:val="20"/>
        </w:rPr>
        <w:t>m</w:t>
      </w:r>
      <w:r w:rsidRPr="00E2031E">
        <w:rPr>
          <w:sz w:val="20"/>
          <w:szCs w:val="20"/>
        </w:rPr>
        <w:t>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ind w:firstLine="360"/>
      </w:pPr>
      <w:r>
        <w:t>Promjene koje uspostava FAB-a donosi, a koje se tiču konfiguracije zračnog prostora, civilno-vojne suradnje, dizajna ruta i sektora, sigurnosti, naplate usluga, ATM sustava i obuke zaposlenih, prikazane su grafikonom 9. Operiranje i upravljanje FAB-om tijekom faze razvoja te metode postizanja željenih ciljeva, u pogledu kooperacije s ostalim FAB-ovima, procesa donošenja odluka, socijalnog dijaloga, uključenosti država i korisnika zračnog prostora, prikazano je na grafikonu 10.</w:t>
      </w:r>
    </w:p>
    <w:p w:rsidR="001646BE" w:rsidRDefault="001646BE" w:rsidP="00893C47">
      <w:pPr>
        <w:spacing w:after="0"/>
        <w:ind w:firstLine="360"/>
      </w:pPr>
    </w:p>
    <w:p w:rsidR="001646BE" w:rsidRDefault="00E02CBE" w:rsidP="00893C47">
      <w:pPr>
        <w:spacing w:after="0"/>
      </w:pPr>
      <w:r>
        <w:rPr>
          <w:noProof/>
          <w:lang w:eastAsia="hr-HR"/>
        </w:rPr>
        <w:drawing>
          <wp:inline distT="0" distB="0" distL="0" distR="0">
            <wp:extent cx="2838450" cy="2085975"/>
            <wp:effectExtent l="19050" t="0" r="0" b="0"/>
            <wp:docPr id="19" name="Object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2"/>
                    <pic:cNvPicPr>
                      <a:picLocks noChangeArrowheads="1"/>
                    </pic:cNvPicPr>
                  </pic:nvPicPr>
                  <pic:blipFill>
                    <a:blip r:embed="rId27"/>
                    <a:srcRect t="-270" b="-270"/>
                    <a:stretch>
                      <a:fillRect/>
                    </a:stretch>
                  </pic:blipFill>
                  <pic:spPr bwMode="auto">
                    <a:xfrm>
                      <a:off x="0" y="0"/>
                      <a:ext cx="2838450" cy="2085975"/>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762250" cy="2105025"/>
            <wp:effectExtent l="19050" t="0" r="0" b="0"/>
            <wp:docPr id="20" name="Object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4"/>
                    <pic:cNvPicPr>
                      <a:picLocks noChangeArrowheads="1"/>
                    </pic:cNvPicPr>
                  </pic:nvPicPr>
                  <pic:blipFill>
                    <a:blip r:embed="rId28"/>
                    <a:srcRect/>
                    <a:stretch>
                      <a:fillRect/>
                    </a:stretch>
                  </pic:blipFill>
                  <pic:spPr bwMode="auto">
                    <a:xfrm>
                      <a:off x="0" y="0"/>
                      <a:ext cx="2762250" cy="2105025"/>
                    </a:xfrm>
                    <a:prstGeom prst="rect">
                      <a:avLst/>
                    </a:prstGeom>
                    <a:noFill/>
                    <a:ln w="9525">
                      <a:noFill/>
                      <a:miter lim="800000"/>
                      <a:headEnd/>
                      <a:tailEnd/>
                    </a:ln>
                  </pic:spPr>
                </pic:pic>
              </a:graphicData>
            </a:graphic>
          </wp:inline>
        </w:drawing>
      </w:r>
    </w:p>
    <w:p w:rsidR="001646BE" w:rsidRPr="008913C3" w:rsidRDefault="001646BE" w:rsidP="00893C47">
      <w:pPr>
        <w:spacing w:after="0"/>
        <w:rPr>
          <w:b/>
          <w:bCs/>
          <w:sz w:val="20"/>
          <w:szCs w:val="20"/>
        </w:rPr>
      </w:pPr>
      <w:r>
        <w:rPr>
          <w:b/>
          <w:bCs/>
          <w:sz w:val="20"/>
          <w:szCs w:val="20"/>
        </w:rPr>
        <w:t xml:space="preserve">Grafikon 9: </w:t>
      </w:r>
      <w:r w:rsidRPr="008913C3">
        <w:rPr>
          <w:b/>
          <w:bCs/>
          <w:sz w:val="20"/>
          <w:szCs w:val="20"/>
        </w:rPr>
        <w:t>promjene nastale us</w:t>
      </w:r>
      <w:r>
        <w:rPr>
          <w:b/>
          <w:bCs/>
          <w:sz w:val="20"/>
          <w:szCs w:val="20"/>
        </w:rPr>
        <w:t xml:space="preserve">postavom FAB-a.        Grafikon 10: </w:t>
      </w:r>
      <w:r w:rsidRPr="008913C3">
        <w:rPr>
          <w:b/>
          <w:bCs/>
          <w:sz w:val="20"/>
          <w:szCs w:val="20"/>
        </w:rPr>
        <w:t>upravljanje FAB-om u fazi razvoja.</w:t>
      </w:r>
    </w:p>
    <w:p w:rsidR="001646BE" w:rsidRDefault="001646BE" w:rsidP="00893C47">
      <w:pPr>
        <w:spacing w:after="0"/>
        <w:rPr>
          <w:sz w:val="20"/>
          <w:szCs w:val="20"/>
        </w:rPr>
      </w:pPr>
      <w:r>
        <w:rPr>
          <w:sz w:val="20"/>
          <w:szCs w:val="20"/>
        </w:rPr>
        <w:t xml:space="preserve">Izvor: </w:t>
      </w:r>
      <w:r w:rsidRPr="00E2031E">
        <w:rPr>
          <w:sz w:val="20"/>
          <w:szCs w:val="20"/>
        </w:rPr>
        <w:t>Performance Review Comision: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spacing w:after="0" w:line="240" w:lineRule="auto"/>
        <w:rPr>
          <w:sz w:val="20"/>
          <w:szCs w:val="20"/>
        </w:rPr>
      </w:pPr>
    </w:p>
    <w:p w:rsidR="001646BE" w:rsidRDefault="001646BE" w:rsidP="00893C47">
      <w:pPr>
        <w:ind w:firstLine="360"/>
      </w:pPr>
      <w:r>
        <w:t>Početak operacija očekuje se kroz tri faze: faza 1 tijekom 2009. godine, faza 2 tijekom 2014. godine i faza 3 tijekom 2018. godine [</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pPr>
        <w:ind w:firstLine="360"/>
      </w:pPr>
    </w:p>
    <w:p w:rsidR="001646BE" w:rsidRDefault="001646BE" w:rsidP="00893C47"/>
    <w:p w:rsidR="001646BE" w:rsidRDefault="001646BE" w:rsidP="00893C47">
      <w:pPr>
        <w:rPr>
          <w:b/>
          <w:bCs/>
        </w:rPr>
      </w:pPr>
      <w:r>
        <w:rPr>
          <w:b/>
          <w:bCs/>
        </w:rPr>
        <w:lastRenderedPageBreak/>
        <w:t>FAB NEFAB</w:t>
      </w:r>
    </w:p>
    <w:p w:rsidR="001646BE" w:rsidRDefault="001646BE" w:rsidP="00893C47">
      <w:pPr>
        <w:ind w:firstLine="360"/>
      </w:pPr>
      <w:r>
        <w:t xml:space="preserve">Funkcionalni blok zračnog prostora NEFAB sastoji se od šest zemalja članica - Norveške, Danske, Švedske, Estonije, Finske i Islanda. Dvije zemlje članice - Danska i Švedska članice su još jedne FAB inicijative (FAB NUAC), koji bi trebao djelovati kao jedinstveni pružatelj usluga u zračnoj plovidbi unutar FAB-a NEFAB. </w:t>
      </w:r>
    </w:p>
    <w:p w:rsidR="001646BE" w:rsidRDefault="001646BE" w:rsidP="00893C47">
      <w:pPr>
        <w:ind w:firstLine="360"/>
      </w:pPr>
      <w:r>
        <w:t xml:space="preserve">Prometni tokovi protežu se uglavnom s juga prema glavnim aerodromima u FAB-u tj. prema Stockholmu, Oslu, Helsinkiju i Kopenhagenu. Velik dio zračnog prostora NEFAB-a opada na oceansko područje. Slika 10 prikazuje FAB NEFAB i njegove glavne prometne tokove. </w:t>
      </w:r>
    </w:p>
    <w:p w:rsidR="001646BE" w:rsidRDefault="00E02CBE" w:rsidP="00893C47">
      <w:pPr>
        <w:spacing w:after="0"/>
        <w:ind w:firstLine="360"/>
      </w:pPr>
      <w:r>
        <w:rPr>
          <w:noProof/>
          <w:lang w:eastAsia="hr-HR"/>
        </w:rPr>
        <w:drawing>
          <wp:inline distT="0" distB="0" distL="0" distR="0">
            <wp:extent cx="4238625" cy="3133725"/>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srcRect/>
                    <a:stretch>
                      <a:fillRect/>
                    </a:stretch>
                  </pic:blipFill>
                  <pic:spPr bwMode="auto">
                    <a:xfrm>
                      <a:off x="0" y="0"/>
                      <a:ext cx="4238625" cy="3133725"/>
                    </a:xfrm>
                    <a:prstGeom prst="rect">
                      <a:avLst/>
                    </a:prstGeom>
                    <a:noFill/>
                    <a:ln w="9525">
                      <a:noFill/>
                      <a:miter lim="800000"/>
                      <a:headEnd/>
                      <a:tailEnd/>
                    </a:ln>
                  </pic:spPr>
                </pic:pic>
              </a:graphicData>
            </a:graphic>
          </wp:inline>
        </w:drawing>
      </w:r>
    </w:p>
    <w:p w:rsidR="001646BE" w:rsidRPr="0024358C" w:rsidRDefault="001646BE" w:rsidP="00893C47">
      <w:pPr>
        <w:spacing w:after="0"/>
        <w:ind w:firstLine="360"/>
        <w:rPr>
          <w:b/>
          <w:bCs/>
          <w:sz w:val="20"/>
          <w:szCs w:val="20"/>
        </w:rPr>
      </w:pPr>
      <w:r>
        <w:rPr>
          <w:b/>
          <w:bCs/>
          <w:sz w:val="20"/>
          <w:szCs w:val="20"/>
        </w:rPr>
        <w:t xml:space="preserve">Slika 10: FAB </w:t>
      </w:r>
      <w:r w:rsidRPr="0024358C">
        <w:rPr>
          <w:b/>
          <w:bCs/>
          <w:sz w:val="20"/>
          <w:szCs w:val="20"/>
        </w:rPr>
        <w:t>NEFAB i njegovi glavni prometni tokovi.</w:t>
      </w:r>
    </w:p>
    <w:p w:rsidR="001646BE" w:rsidRDefault="001646BE" w:rsidP="00893C47">
      <w:pPr>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pPr>
      <w:r>
        <w:tab/>
        <w:t>Funkcionalni blok zračnog prostora NEFAB najkasnije je određena i najkasnije bi trebala biti uspostavljena inicijativa stoga se nalazi u ranoj fazi ustroja. Značajna poboljšanja i dobit nisu realni s obzirom na relativno nisku gustoću prometa kroz glavninu FAB-a. Optimizacija zračnog prostora iz tog razloga nije potrebna pa se eventualna poboljšanja mogu očekivati uspostavom zajedničkih sustava, racionalizacijom usluga i sl. Problemi koji bi se mogli pojaviti, iako postoje znatne sličnosti što se tiče operativnih koncepata, odnose se na problem raznolikosti upravljačkih mehanizama i vlasništva, te na heterogenost FAB-a zbog oceanskog zračnog prostora. Opći podaci o FAB-u NEFAB prezentirani su u tablici 7.</w:t>
      </w:r>
    </w:p>
    <w:p w:rsidR="001646BE" w:rsidRPr="00F40514" w:rsidRDefault="001646BE" w:rsidP="00893C47">
      <w:pPr>
        <w:spacing w:after="0" w:line="240" w:lineRule="auto"/>
        <w:rPr>
          <w:b/>
          <w:bCs/>
          <w:sz w:val="20"/>
          <w:szCs w:val="20"/>
        </w:rPr>
      </w:pPr>
      <w:r w:rsidRPr="00F40514">
        <w:rPr>
          <w:b/>
          <w:bCs/>
          <w:sz w:val="20"/>
          <w:szCs w:val="20"/>
        </w:rPr>
        <w:lastRenderedPageBreak/>
        <w:t>T</w:t>
      </w:r>
      <w:r>
        <w:rPr>
          <w:b/>
          <w:bCs/>
          <w:sz w:val="20"/>
          <w:szCs w:val="20"/>
        </w:rPr>
        <w:t xml:space="preserve">ablica 7: opći podaci o FAB-u </w:t>
      </w:r>
      <w:r w:rsidRPr="00F40514">
        <w:rPr>
          <w:b/>
          <w:bCs/>
          <w:sz w:val="20"/>
          <w:szCs w:val="20"/>
        </w:rPr>
        <w:t>NEFAB</w:t>
      </w:r>
    </w:p>
    <w:tbl>
      <w:tblPr>
        <w:tblW w:w="91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7"/>
        <w:gridCol w:w="1158"/>
        <w:gridCol w:w="682"/>
        <w:gridCol w:w="1019"/>
        <w:gridCol w:w="892"/>
        <w:gridCol w:w="801"/>
        <w:gridCol w:w="1138"/>
        <w:gridCol w:w="1041"/>
        <w:gridCol w:w="1094"/>
      </w:tblGrid>
      <w:tr w:rsidR="001646BE" w:rsidRPr="003A4F00">
        <w:trPr>
          <w:trHeight w:val="1260"/>
        </w:trPr>
        <w:tc>
          <w:tcPr>
            <w:tcW w:w="1357" w:type="dxa"/>
            <w:vAlign w:val="center"/>
          </w:tcPr>
          <w:p w:rsidR="001646BE" w:rsidRPr="003A4F00" w:rsidRDefault="001646BE" w:rsidP="003A4F00">
            <w:pPr>
              <w:spacing w:after="0" w:line="240" w:lineRule="auto"/>
              <w:jc w:val="center"/>
              <w:rPr>
                <w:b/>
                <w:bCs/>
                <w:color w:val="000000"/>
                <w:sz w:val="20"/>
                <w:szCs w:val="20"/>
              </w:rPr>
            </w:pPr>
          </w:p>
        </w:tc>
        <w:tc>
          <w:tcPr>
            <w:tcW w:w="115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VELIčINA ZRAČNOG PROSTORA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(000km²)</w:t>
            </w:r>
          </w:p>
        </w:tc>
        <w:tc>
          <w:tcPr>
            <w:tcW w:w="68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SATI LETA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(mil)</w:t>
            </w:r>
          </w:p>
        </w:tc>
        <w:tc>
          <w:tcPr>
            <w:tcW w:w="1019"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(mlrd  EUR)</w:t>
            </w:r>
          </w:p>
        </w:tc>
        <w:tc>
          <w:tcPr>
            <w:tcW w:w="89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SEKTORI</w:t>
            </w:r>
          </w:p>
        </w:tc>
        <w:tc>
          <w:tcPr>
            <w:tcW w:w="80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BROJ ACC-a</w:t>
            </w:r>
          </w:p>
        </w:tc>
        <w:tc>
          <w:tcPr>
            <w:tcW w:w="113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ATFM KAŠNJENJE</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(min  / satu leta)</w:t>
            </w:r>
          </w:p>
        </w:tc>
        <w:tc>
          <w:tcPr>
            <w:tcW w:w="104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ATCO</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c>
          <w:tcPr>
            <w:tcW w:w="1094"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 PRUŽANJA USLUGA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r>
      <w:tr w:rsidR="001646BE" w:rsidRPr="003A4F00">
        <w:trPr>
          <w:trHeight w:val="378"/>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FAB</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3324</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1,5</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0,4</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53</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9</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0,29</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93</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275</w:t>
            </w:r>
          </w:p>
        </w:tc>
      </w:tr>
      <w:tr w:rsidR="001646BE" w:rsidRPr="003A4F00">
        <w:trPr>
          <w:trHeight w:val="393"/>
        </w:trPr>
        <w:tc>
          <w:tcPr>
            <w:tcW w:w="1357" w:type="dxa"/>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tc>
        <w:tc>
          <w:tcPr>
            <w:tcW w:w="1158" w:type="dxa"/>
            <w:vAlign w:val="center"/>
          </w:tcPr>
          <w:p w:rsidR="001646BE" w:rsidRPr="003A4F00" w:rsidRDefault="00EA745D" w:rsidP="003A4F00">
            <w:pPr>
              <w:spacing w:after="0" w:line="240" w:lineRule="auto"/>
              <w:jc w:val="center"/>
              <w:rPr>
                <w:color w:val="000000"/>
              </w:rPr>
            </w:pPr>
            <w:r>
              <w:rPr>
                <w:color w:val="000000"/>
                <w:sz w:val="22"/>
                <w:szCs w:val="22"/>
              </w:rPr>
              <w:t>17.</w:t>
            </w:r>
            <w:r w:rsidR="001646BE" w:rsidRPr="003A4F00">
              <w:rPr>
                <w:color w:val="000000"/>
                <w:sz w:val="22"/>
                <w:szCs w:val="22"/>
              </w:rPr>
              <w:t>483</w:t>
            </w:r>
          </w:p>
        </w:tc>
        <w:tc>
          <w:tcPr>
            <w:tcW w:w="682" w:type="dxa"/>
            <w:vAlign w:val="center"/>
          </w:tcPr>
          <w:p w:rsidR="001646BE" w:rsidRPr="003A4F00" w:rsidRDefault="001646BE" w:rsidP="003A4F00">
            <w:pPr>
              <w:spacing w:after="0" w:line="240" w:lineRule="auto"/>
              <w:jc w:val="center"/>
              <w:rPr>
                <w:color w:val="000000"/>
              </w:rPr>
            </w:pPr>
            <w:r w:rsidRPr="003A4F00">
              <w:rPr>
                <w:color w:val="000000"/>
                <w:sz w:val="22"/>
                <w:szCs w:val="22"/>
              </w:rPr>
              <w:t>16,4</w:t>
            </w:r>
          </w:p>
        </w:tc>
        <w:tc>
          <w:tcPr>
            <w:tcW w:w="1019" w:type="dxa"/>
            <w:vAlign w:val="center"/>
          </w:tcPr>
          <w:p w:rsidR="001646BE" w:rsidRPr="003A4F00" w:rsidRDefault="001646BE" w:rsidP="003A4F00">
            <w:pPr>
              <w:spacing w:after="0" w:line="240" w:lineRule="auto"/>
              <w:jc w:val="center"/>
              <w:rPr>
                <w:color w:val="000000"/>
              </w:rPr>
            </w:pPr>
            <w:r w:rsidRPr="003A4F00">
              <w:rPr>
                <w:color w:val="000000"/>
                <w:sz w:val="22"/>
                <w:szCs w:val="22"/>
              </w:rPr>
              <w:t>6,5</w:t>
            </w:r>
          </w:p>
        </w:tc>
        <w:tc>
          <w:tcPr>
            <w:tcW w:w="892" w:type="dxa"/>
            <w:vAlign w:val="center"/>
          </w:tcPr>
          <w:p w:rsidR="001646BE" w:rsidRPr="003A4F00" w:rsidRDefault="001646BE" w:rsidP="003A4F00">
            <w:pPr>
              <w:spacing w:after="0" w:line="240" w:lineRule="auto"/>
              <w:jc w:val="center"/>
              <w:rPr>
                <w:color w:val="000000"/>
              </w:rPr>
            </w:pPr>
            <w:r w:rsidRPr="003A4F00">
              <w:rPr>
                <w:color w:val="000000"/>
                <w:sz w:val="22"/>
                <w:szCs w:val="22"/>
              </w:rPr>
              <w:t>622</w:t>
            </w:r>
          </w:p>
        </w:tc>
        <w:tc>
          <w:tcPr>
            <w:tcW w:w="801" w:type="dxa"/>
            <w:vAlign w:val="center"/>
          </w:tcPr>
          <w:p w:rsidR="001646BE" w:rsidRPr="003A4F00" w:rsidRDefault="001646BE" w:rsidP="003A4F00">
            <w:pPr>
              <w:spacing w:after="0" w:line="240" w:lineRule="auto"/>
              <w:jc w:val="center"/>
              <w:rPr>
                <w:color w:val="000000"/>
              </w:rPr>
            </w:pPr>
            <w:r w:rsidRPr="003A4F00">
              <w:rPr>
                <w:color w:val="000000"/>
                <w:sz w:val="22"/>
                <w:szCs w:val="22"/>
              </w:rPr>
              <w:t>59</w:t>
            </w:r>
          </w:p>
        </w:tc>
        <w:tc>
          <w:tcPr>
            <w:tcW w:w="1138"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41"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94"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r>
      <w:tr w:rsidR="001646BE" w:rsidRPr="003A4F00">
        <w:trPr>
          <w:trHeight w:val="696"/>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p w:rsidR="001646BE" w:rsidRPr="003A4F00" w:rsidRDefault="001646BE" w:rsidP="003A4F00">
            <w:pPr>
              <w:spacing w:after="0" w:line="240" w:lineRule="auto"/>
              <w:jc w:val="center"/>
              <w:rPr>
                <w:b/>
                <w:bCs/>
                <w:color w:val="000000"/>
                <w:sz w:val="20"/>
                <w:szCs w:val="20"/>
              </w:rPr>
            </w:pPr>
            <w:r w:rsidRPr="003A4F00">
              <w:rPr>
                <w:color w:val="000000"/>
                <w:sz w:val="20"/>
                <w:szCs w:val="20"/>
              </w:rPr>
              <w:t>PROSJEK</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bl>
    <w:p w:rsidR="001646BE" w:rsidRPr="002C2367" w:rsidRDefault="001646BE" w:rsidP="00893C47">
      <w:pPr>
        <w:rPr>
          <w:sz w:val="20"/>
          <w:szCs w:val="20"/>
        </w:rPr>
      </w:pPr>
      <w:r w:rsidRPr="00E2031E">
        <w:rPr>
          <w:sz w:val="20"/>
          <w:szCs w:val="20"/>
        </w:rPr>
        <w:t>Izvor: Performance Review Com</w:t>
      </w:r>
      <w:r>
        <w:rPr>
          <w:sz w:val="20"/>
          <w:szCs w:val="20"/>
        </w:rPr>
        <w:t>m</w:t>
      </w:r>
      <w:r w:rsidRPr="00E2031E">
        <w:rPr>
          <w:sz w:val="20"/>
          <w:szCs w:val="20"/>
        </w:rPr>
        <w:t>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ind w:firstLine="360"/>
      </w:pPr>
      <w:r>
        <w:t>Promjene koje uspostava FAB-a donosi, a koje se tiču konfiguracije zračnog prostora, civilno-vojne suradnje, dizajna ruta i sektora, sigurnosti, naplate usluga, ATM sustava i obuke zaposlenih, prikazane su grafikonom 11. Operiranje i upravljanje FAB-om tijekom faze razvoja te metode postizanja željenih ciljeva, u pogledu kooperacije s ostalim FAB-ovima, procesa donošenja odluka, socijalnog dijaloga, uključenosti država i korisnika zračnog prostora, prikazano je na grafikonu 12.</w:t>
      </w:r>
    </w:p>
    <w:p w:rsidR="001646BE" w:rsidRDefault="001646BE" w:rsidP="00893C47">
      <w:pPr>
        <w:spacing w:after="0"/>
      </w:pPr>
    </w:p>
    <w:p w:rsidR="001646BE" w:rsidRDefault="00E02CBE" w:rsidP="00893C47">
      <w:pPr>
        <w:spacing w:after="0"/>
      </w:pPr>
      <w:r>
        <w:rPr>
          <w:noProof/>
          <w:lang w:eastAsia="hr-HR"/>
        </w:rPr>
        <w:drawing>
          <wp:inline distT="0" distB="0" distL="0" distR="0">
            <wp:extent cx="2771775" cy="2114550"/>
            <wp:effectExtent l="19050" t="0" r="9525" b="0"/>
            <wp:docPr id="22" name="Object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6"/>
                    <pic:cNvPicPr>
                      <a:picLocks noChangeArrowheads="1"/>
                    </pic:cNvPicPr>
                  </pic:nvPicPr>
                  <pic:blipFill>
                    <a:blip r:embed="rId30"/>
                    <a:srcRect t="-267" b="-444"/>
                    <a:stretch>
                      <a:fillRect/>
                    </a:stretch>
                  </pic:blipFill>
                  <pic:spPr bwMode="auto">
                    <a:xfrm>
                      <a:off x="0" y="0"/>
                      <a:ext cx="2771775" cy="2114550"/>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686050" cy="2047875"/>
            <wp:effectExtent l="19050" t="0" r="0" b="0"/>
            <wp:docPr id="23" name="Object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8"/>
                    <pic:cNvPicPr>
                      <a:picLocks noChangeArrowheads="1"/>
                    </pic:cNvPicPr>
                  </pic:nvPicPr>
                  <pic:blipFill>
                    <a:blip r:embed="rId31"/>
                    <a:srcRect/>
                    <a:stretch>
                      <a:fillRect/>
                    </a:stretch>
                  </pic:blipFill>
                  <pic:spPr bwMode="auto">
                    <a:xfrm>
                      <a:off x="0" y="0"/>
                      <a:ext cx="2686050" cy="2047875"/>
                    </a:xfrm>
                    <a:prstGeom prst="rect">
                      <a:avLst/>
                    </a:prstGeom>
                    <a:noFill/>
                    <a:ln w="9525">
                      <a:noFill/>
                      <a:miter lim="800000"/>
                      <a:headEnd/>
                      <a:tailEnd/>
                    </a:ln>
                  </pic:spPr>
                </pic:pic>
              </a:graphicData>
            </a:graphic>
          </wp:inline>
        </w:drawing>
      </w:r>
    </w:p>
    <w:p w:rsidR="001646BE" w:rsidRPr="00C42C4C" w:rsidRDefault="001646BE" w:rsidP="00893C47">
      <w:pPr>
        <w:spacing w:after="0"/>
        <w:rPr>
          <w:b/>
          <w:bCs/>
          <w:sz w:val="20"/>
          <w:szCs w:val="20"/>
        </w:rPr>
      </w:pPr>
      <w:r w:rsidRPr="00C42C4C">
        <w:rPr>
          <w:b/>
          <w:bCs/>
          <w:sz w:val="20"/>
          <w:szCs w:val="20"/>
        </w:rPr>
        <w:t>Gr</w:t>
      </w:r>
      <w:r>
        <w:rPr>
          <w:b/>
          <w:bCs/>
          <w:sz w:val="20"/>
          <w:szCs w:val="20"/>
        </w:rPr>
        <w:t xml:space="preserve">afikon 11: </w:t>
      </w:r>
      <w:r w:rsidRPr="00C42C4C">
        <w:rPr>
          <w:b/>
          <w:bCs/>
          <w:sz w:val="20"/>
          <w:szCs w:val="20"/>
        </w:rPr>
        <w:t>promjene nastale us</w:t>
      </w:r>
      <w:r>
        <w:rPr>
          <w:b/>
          <w:bCs/>
          <w:sz w:val="20"/>
          <w:szCs w:val="20"/>
        </w:rPr>
        <w:t xml:space="preserve">postavom FAB-a.      Grafikon 12: </w:t>
      </w:r>
      <w:r w:rsidRPr="00C42C4C">
        <w:rPr>
          <w:b/>
          <w:bCs/>
          <w:sz w:val="20"/>
          <w:szCs w:val="20"/>
        </w:rPr>
        <w:t>upravljanje FAB-om u fazi razvoja.</w:t>
      </w:r>
    </w:p>
    <w:p w:rsidR="001646BE" w:rsidRDefault="001646BE" w:rsidP="00893C47">
      <w:pPr>
        <w:spacing w:after="0"/>
        <w:rPr>
          <w:sz w:val="20"/>
          <w:szCs w:val="20"/>
        </w:rPr>
      </w:pPr>
      <w:r>
        <w:rPr>
          <w:sz w:val="20"/>
          <w:szCs w:val="20"/>
        </w:rPr>
        <w:t xml:space="preserve">Izvor: </w:t>
      </w:r>
      <w:r w:rsidRPr="00E2031E">
        <w:rPr>
          <w:sz w:val="20"/>
          <w:szCs w:val="20"/>
        </w:rPr>
        <w:t>Performance Review Comision: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spacing w:after="0"/>
        <w:ind w:firstLine="426"/>
        <w:rPr>
          <w:b/>
          <w:bCs/>
        </w:rPr>
      </w:pPr>
    </w:p>
    <w:p w:rsidR="001646BE" w:rsidRDefault="001646BE" w:rsidP="00893C47">
      <w:r>
        <w:t>Datum početka operacija i implementacije FAB-a NEFAB nije još precizno određen</w:t>
      </w:r>
      <w:r w:rsidRPr="003D5096">
        <w:t xml:space="preserve"> </w:t>
      </w:r>
      <w:r>
        <w:t>[</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pPr>
        <w:ind w:firstLine="426"/>
        <w:rPr>
          <w:b/>
          <w:bCs/>
        </w:rPr>
      </w:pPr>
    </w:p>
    <w:p w:rsidR="001646BE" w:rsidRDefault="001646BE" w:rsidP="00893C47">
      <w:pPr>
        <w:ind w:firstLine="426"/>
        <w:rPr>
          <w:b/>
          <w:bCs/>
        </w:rPr>
      </w:pPr>
    </w:p>
    <w:p w:rsidR="001646BE" w:rsidRDefault="001646BE" w:rsidP="00893C47">
      <w:pPr>
        <w:rPr>
          <w:b/>
          <w:bCs/>
        </w:rPr>
      </w:pPr>
      <w:r>
        <w:rPr>
          <w:b/>
          <w:bCs/>
        </w:rPr>
        <w:lastRenderedPageBreak/>
        <w:t>FAB NUAC</w:t>
      </w:r>
    </w:p>
    <w:p w:rsidR="001646BE" w:rsidRDefault="001646BE" w:rsidP="00893C47">
      <w:pPr>
        <w:ind w:firstLine="360"/>
      </w:pPr>
      <w:r>
        <w:t xml:space="preserve">Funkcionalni blok zračnog prostora NUAC sastoji se od dvije zemlje članice - Danske i Švedske, koje su ujedno članice inicijative za uspostavu većeg FAB-a NEFAB (koji je u ranijim fazama razvoja, te se planira uspostaviti znatno kasnije od NUAC inicijative).  Program NUAC temelji se na istoimenom projektu koji se odnosio samo na gornji zračni prostor, ali je s vremenom evoluirao u FAB inicijativu. Iz tog razloga NUAC je jedna od najnaprednijih FAB inicijativa koja ujedno ima i snažnu političku potporu zemalja članica. Zemlje članice odlučile su se za koncept operativnog saveza koji donosi znatna poboljšanja integracijom zračnog prostora, ali ne stvara probleme koji bi nastali ukoliko bi bilo potrebno transferirati zaposlene u novu integriranu jedinicu. Međutim, predviđa se ustroj zajedničke NUAC organizacije, koja treba djelovati kao ATS pružatelj unutar FAB-a. Glavni prometni pravci teku prema dvjema velikim zračnim lukama u FAB-u - Kopenhagenu i Stockholmu. Slika 11 prikazuje FAB NUAC i glavne prometne tokove. </w:t>
      </w:r>
    </w:p>
    <w:p w:rsidR="001646BE" w:rsidRDefault="00E02CBE" w:rsidP="00893C47">
      <w:pPr>
        <w:spacing w:after="0"/>
        <w:ind w:firstLine="360"/>
      </w:pPr>
      <w:r>
        <w:rPr>
          <w:noProof/>
          <w:lang w:eastAsia="hr-HR"/>
        </w:rPr>
        <w:drawing>
          <wp:inline distT="0" distB="0" distL="0" distR="0">
            <wp:extent cx="3971925" cy="2952750"/>
            <wp:effectExtent l="19050" t="0" r="9525"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srcRect/>
                    <a:stretch>
                      <a:fillRect/>
                    </a:stretch>
                  </pic:blipFill>
                  <pic:spPr bwMode="auto">
                    <a:xfrm>
                      <a:off x="0" y="0"/>
                      <a:ext cx="3971925" cy="2952750"/>
                    </a:xfrm>
                    <a:prstGeom prst="rect">
                      <a:avLst/>
                    </a:prstGeom>
                    <a:noFill/>
                    <a:ln w="9525">
                      <a:noFill/>
                      <a:miter lim="800000"/>
                      <a:headEnd/>
                      <a:tailEnd/>
                    </a:ln>
                  </pic:spPr>
                </pic:pic>
              </a:graphicData>
            </a:graphic>
          </wp:inline>
        </w:drawing>
      </w:r>
    </w:p>
    <w:p w:rsidR="001646BE" w:rsidRPr="00F003DB" w:rsidRDefault="001646BE" w:rsidP="00893C47">
      <w:pPr>
        <w:spacing w:after="0"/>
        <w:ind w:firstLine="360"/>
        <w:rPr>
          <w:b/>
          <w:bCs/>
          <w:sz w:val="20"/>
          <w:szCs w:val="20"/>
        </w:rPr>
      </w:pPr>
      <w:r>
        <w:rPr>
          <w:b/>
          <w:bCs/>
          <w:sz w:val="20"/>
          <w:szCs w:val="20"/>
        </w:rPr>
        <w:t xml:space="preserve">Slika 11: FAB </w:t>
      </w:r>
      <w:r w:rsidRPr="00F003DB">
        <w:rPr>
          <w:b/>
          <w:bCs/>
          <w:sz w:val="20"/>
          <w:szCs w:val="20"/>
        </w:rPr>
        <w:t>NUAC i njegovi glavni prometni tokovi.</w:t>
      </w:r>
    </w:p>
    <w:p w:rsidR="001646BE" w:rsidRDefault="001646BE" w:rsidP="00893C47">
      <w:pPr>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ind w:firstLine="360"/>
      </w:pPr>
      <w:r>
        <w:t>Postoje znatne sličnosti operativnih koncepata dvaju ANSP-a zemalja članica, a jedna od glavnih prednosti jest tehnološka usklađenost putem COOPANS</w:t>
      </w:r>
      <w:r>
        <w:rPr>
          <w:rStyle w:val="FootnoteReference"/>
        </w:rPr>
        <w:footnoteReference w:id="30"/>
      </w:r>
      <w:r>
        <w:t xml:space="preserve"> inicijative te zajednički centar obuke kontrolora leta.</w:t>
      </w:r>
      <w:r w:rsidRPr="001D76B2">
        <w:t xml:space="preserve"> </w:t>
      </w:r>
      <w:r>
        <w:t>Opći podaci o FAB-u NUAC prezentirani su u tablici 8.</w:t>
      </w:r>
    </w:p>
    <w:p w:rsidR="001646BE" w:rsidRDefault="001646BE" w:rsidP="00893C47">
      <w:pPr>
        <w:spacing w:after="0"/>
        <w:ind w:firstLine="360"/>
      </w:pPr>
    </w:p>
    <w:p w:rsidR="001646BE" w:rsidRPr="00F003DB" w:rsidRDefault="001646BE" w:rsidP="00893C47">
      <w:pPr>
        <w:spacing w:after="0" w:line="240" w:lineRule="auto"/>
        <w:rPr>
          <w:b/>
          <w:bCs/>
          <w:sz w:val="20"/>
          <w:szCs w:val="20"/>
        </w:rPr>
      </w:pPr>
      <w:r w:rsidRPr="00F003DB">
        <w:rPr>
          <w:b/>
          <w:bCs/>
          <w:sz w:val="20"/>
          <w:szCs w:val="20"/>
        </w:rPr>
        <w:lastRenderedPageBreak/>
        <w:t>T</w:t>
      </w:r>
      <w:r>
        <w:rPr>
          <w:b/>
          <w:bCs/>
          <w:sz w:val="20"/>
          <w:szCs w:val="20"/>
        </w:rPr>
        <w:t xml:space="preserve">ablica 8: opći podaci o FAB-u </w:t>
      </w:r>
      <w:r w:rsidRPr="00F003DB">
        <w:rPr>
          <w:b/>
          <w:bCs/>
          <w:sz w:val="20"/>
          <w:szCs w:val="20"/>
        </w:rPr>
        <w:t>NUAC</w:t>
      </w:r>
    </w:p>
    <w:tbl>
      <w:tblPr>
        <w:tblW w:w="91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7"/>
        <w:gridCol w:w="1158"/>
        <w:gridCol w:w="682"/>
        <w:gridCol w:w="1019"/>
        <w:gridCol w:w="892"/>
        <w:gridCol w:w="801"/>
        <w:gridCol w:w="1138"/>
        <w:gridCol w:w="1041"/>
        <w:gridCol w:w="1094"/>
      </w:tblGrid>
      <w:tr w:rsidR="001646BE" w:rsidRPr="003A4F00">
        <w:trPr>
          <w:trHeight w:val="1260"/>
        </w:trPr>
        <w:tc>
          <w:tcPr>
            <w:tcW w:w="1357" w:type="dxa"/>
            <w:vAlign w:val="center"/>
          </w:tcPr>
          <w:p w:rsidR="001646BE" w:rsidRPr="003A4F00" w:rsidRDefault="001646BE" w:rsidP="003A4F00">
            <w:pPr>
              <w:spacing w:after="0" w:line="240" w:lineRule="auto"/>
              <w:jc w:val="center"/>
              <w:rPr>
                <w:b/>
                <w:bCs/>
                <w:color w:val="000000"/>
                <w:sz w:val="20"/>
                <w:szCs w:val="20"/>
              </w:rPr>
            </w:pPr>
          </w:p>
        </w:tc>
        <w:tc>
          <w:tcPr>
            <w:tcW w:w="115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VELIčINA ZRAČNOG PROSTORA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(000km²)</w:t>
            </w:r>
          </w:p>
        </w:tc>
        <w:tc>
          <w:tcPr>
            <w:tcW w:w="68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SATI LETA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(mil)</w:t>
            </w:r>
          </w:p>
        </w:tc>
        <w:tc>
          <w:tcPr>
            <w:tcW w:w="1019"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(mlrd  EUR)</w:t>
            </w:r>
          </w:p>
        </w:tc>
        <w:tc>
          <w:tcPr>
            <w:tcW w:w="89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SEKTORI</w:t>
            </w:r>
          </w:p>
        </w:tc>
        <w:tc>
          <w:tcPr>
            <w:tcW w:w="80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BROJ ACC-a</w:t>
            </w:r>
          </w:p>
        </w:tc>
        <w:tc>
          <w:tcPr>
            <w:tcW w:w="113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ATFM KAŠNJENJE</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(min  / satu leta)</w:t>
            </w:r>
          </w:p>
        </w:tc>
        <w:tc>
          <w:tcPr>
            <w:tcW w:w="104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ATCO</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c>
          <w:tcPr>
            <w:tcW w:w="1094"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 PRUŽANJA USLUGA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r>
      <w:tr w:rsidR="001646BE" w:rsidRPr="003A4F00">
        <w:trPr>
          <w:trHeight w:val="378"/>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FAB</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783</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0,9</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0,2</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31</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3</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0,29</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88</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260</w:t>
            </w:r>
          </w:p>
        </w:tc>
      </w:tr>
      <w:tr w:rsidR="001646BE" w:rsidRPr="003A4F00">
        <w:trPr>
          <w:trHeight w:val="393"/>
        </w:trPr>
        <w:tc>
          <w:tcPr>
            <w:tcW w:w="1357" w:type="dxa"/>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tc>
        <w:tc>
          <w:tcPr>
            <w:tcW w:w="1158" w:type="dxa"/>
            <w:vAlign w:val="center"/>
          </w:tcPr>
          <w:p w:rsidR="001646BE" w:rsidRPr="003A4F00" w:rsidRDefault="00EA745D" w:rsidP="003A4F00">
            <w:pPr>
              <w:spacing w:after="0" w:line="240" w:lineRule="auto"/>
              <w:jc w:val="center"/>
              <w:rPr>
                <w:color w:val="000000"/>
              </w:rPr>
            </w:pPr>
            <w:r>
              <w:rPr>
                <w:color w:val="000000"/>
                <w:sz w:val="22"/>
                <w:szCs w:val="22"/>
              </w:rPr>
              <w:t>17.</w:t>
            </w:r>
            <w:r w:rsidR="001646BE" w:rsidRPr="003A4F00">
              <w:rPr>
                <w:color w:val="000000"/>
                <w:sz w:val="22"/>
                <w:szCs w:val="22"/>
              </w:rPr>
              <w:t>483</w:t>
            </w:r>
          </w:p>
        </w:tc>
        <w:tc>
          <w:tcPr>
            <w:tcW w:w="682" w:type="dxa"/>
            <w:vAlign w:val="center"/>
          </w:tcPr>
          <w:p w:rsidR="001646BE" w:rsidRPr="003A4F00" w:rsidRDefault="001646BE" w:rsidP="003A4F00">
            <w:pPr>
              <w:spacing w:after="0" w:line="240" w:lineRule="auto"/>
              <w:jc w:val="center"/>
              <w:rPr>
                <w:color w:val="000000"/>
              </w:rPr>
            </w:pPr>
            <w:r w:rsidRPr="003A4F00">
              <w:rPr>
                <w:color w:val="000000"/>
                <w:sz w:val="22"/>
                <w:szCs w:val="22"/>
              </w:rPr>
              <w:t>16,4</w:t>
            </w:r>
          </w:p>
        </w:tc>
        <w:tc>
          <w:tcPr>
            <w:tcW w:w="1019" w:type="dxa"/>
            <w:vAlign w:val="center"/>
          </w:tcPr>
          <w:p w:rsidR="001646BE" w:rsidRPr="003A4F00" w:rsidRDefault="001646BE" w:rsidP="003A4F00">
            <w:pPr>
              <w:spacing w:after="0" w:line="240" w:lineRule="auto"/>
              <w:jc w:val="center"/>
              <w:rPr>
                <w:color w:val="000000"/>
              </w:rPr>
            </w:pPr>
            <w:r w:rsidRPr="003A4F00">
              <w:rPr>
                <w:color w:val="000000"/>
                <w:sz w:val="22"/>
                <w:szCs w:val="22"/>
              </w:rPr>
              <w:t>6,5</w:t>
            </w:r>
          </w:p>
        </w:tc>
        <w:tc>
          <w:tcPr>
            <w:tcW w:w="892" w:type="dxa"/>
            <w:vAlign w:val="center"/>
          </w:tcPr>
          <w:p w:rsidR="001646BE" w:rsidRPr="003A4F00" w:rsidRDefault="001646BE" w:rsidP="003A4F00">
            <w:pPr>
              <w:spacing w:after="0" w:line="240" w:lineRule="auto"/>
              <w:jc w:val="center"/>
              <w:rPr>
                <w:color w:val="000000"/>
              </w:rPr>
            </w:pPr>
            <w:r w:rsidRPr="003A4F00">
              <w:rPr>
                <w:color w:val="000000"/>
                <w:sz w:val="22"/>
                <w:szCs w:val="22"/>
              </w:rPr>
              <w:t>622</w:t>
            </w:r>
          </w:p>
        </w:tc>
        <w:tc>
          <w:tcPr>
            <w:tcW w:w="801" w:type="dxa"/>
            <w:vAlign w:val="center"/>
          </w:tcPr>
          <w:p w:rsidR="001646BE" w:rsidRPr="003A4F00" w:rsidRDefault="001646BE" w:rsidP="003A4F00">
            <w:pPr>
              <w:spacing w:after="0" w:line="240" w:lineRule="auto"/>
              <w:jc w:val="center"/>
              <w:rPr>
                <w:color w:val="000000"/>
              </w:rPr>
            </w:pPr>
            <w:r w:rsidRPr="003A4F00">
              <w:rPr>
                <w:color w:val="000000"/>
                <w:sz w:val="22"/>
                <w:szCs w:val="22"/>
              </w:rPr>
              <w:t>59</w:t>
            </w:r>
          </w:p>
        </w:tc>
        <w:tc>
          <w:tcPr>
            <w:tcW w:w="1138"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41"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94"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r>
      <w:tr w:rsidR="001646BE" w:rsidRPr="003A4F00">
        <w:trPr>
          <w:trHeight w:val="696"/>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p w:rsidR="001646BE" w:rsidRPr="003A4F00" w:rsidRDefault="001646BE" w:rsidP="003A4F00">
            <w:pPr>
              <w:spacing w:after="0" w:line="240" w:lineRule="auto"/>
              <w:jc w:val="center"/>
              <w:rPr>
                <w:b/>
                <w:bCs/>
                <w:color w:val="000000"/>
                <w:sz w:val="20"/>
                <w:szCs w:val="20"/>
              </w:rPr>
            </w:pPr>
            <w:r w:rsidRPr="003A4F00">
              <w:rPr>
                <w:color w:val="000000"/>
                <w:sz w:val="20"/>
                <w:szCs w:val="20"/>
              </w:rPr>
              <w:t>PROSJEK</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bl>
    <w:p w:rsidR="001646BE" w:rsidRPr="002C2367" w:rsidRDefault="001646BE" w:rsidP="00893C47">
      <w:pPr>
        <w:rPr>
          <w:sz w:val="20"/>
          <w:szCs w:val="20"/>
        </w:rPr>
      </w:pPr>
      <w:r w:rsidRPr="00E2031E">
        <w:rPr>
          <w:sz w:val="20"/>
          <w:szCs w:val="20"/>
        </w:rPr>
        <w:t>Izvor: Performance Review Com</w:t>
      </w:r>
      <w:r>
        <w:rPr>
          <w:sz w:val="20"/>
          <w:szCs w:val="20"/>
        </w:rPr>
        <w:t>m</w:t>
      </w:r>
      <w:r w:rsidRPr="00E2031E">
        <w:rPr>
          <w:sz w:val="20"/>
          <w:szCs w:val="20"/>
        </w:rPr>
        <w:t>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ind w:firstLine="360"/>
      </w:pPr>
      <w:r>
        <w:t>Promjene koje uspostava FAB-a donosi, a koje se tiču konfiguracije zračnog prostora, civilno-vojne suradnje, dizajna ruta i sektora, sigurnosti, naplate usluga, ATM sustava i obuke zaposlenih, prikazane su grafikonom 13. Operiranje i upravljanje FAB-om tijekom faze razvoja te metode postizanja željenih ciljeva, u pogledu kooperacije s ostalim FAB-ovima, procesa donošenja odluka, socijalnog dijaloga, uključenosti država i korisnika zračnog prostora, prikazano je na grafikonu 14.</w:t>
      </w:r>
    </w:p>
    <w:p w:rsidR="001646BE" w:rsidRDefault="001646BE" w:rsidP="00893C47">
      <w:pPr>
        <w:spacing w:after="0"/>
      </w:pPr>
    </w:p>
    <w:p w:rsidR="001646BE" w:rsidRDefault="00E02CBE" w:rsidP="00893C47">
      <w:pPr>
        <w:spacing w:after="0"/>
      </w:pPr>
      <w:r>
        <w:rPr>
          <w:noProof/>
          <w:lang w:eastAsia="hr-HR"/>
        </w:rPr>
        <w:drawing>
          <wp:inline distT="0" distB="0" distL="0" distR="0">
            <wp:extent cx="2667000" cy="1952625"/>
            <wp:effectExtent l="19050" t="0" r="0" b="0"/>
            <wp:docPr id="25" name="Object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0"/>
                    <pic:cNvPicPr>
                      <a:picLocks noChangeArrowheads="1"/>
                    </pic:cNvPicPr>
                  </pic:nvPicPr>
                  <pic:blipFill>
                    <a:blip r:embed="rId33"/>
                    <a:srcRect t="-290" b="-450"/>
                    <a:stretch>
                      <a:fillRect/>
                    </a:stretch>
                  </pic:blipFill>
                  <pic:spPr bwMode="auto">
                    <a:xfrm>
                      <a:off x="0" y="0"/>
                      <a:ext cx="2667000" cy="1952625"/>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819400" cy="2019300"/>
            <wp:effectExtent l="19050" t="0" r="0" b="0"/>
            <wp:docPr id="26" name="Object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2"/>
                    <pic:cNvPicPr>
                      <a:picLocks noChangeArrowheads="1"/>
                    </pic:cNvPicPr>
                  </pic:nvPicPr>
                  <pic:blipFill>
                    <a:blip r:embed="rId34"/>
                    <a:srcRect/>
                    <a:stretch>
                      <a:fillRect/>
                    </a:stretch>
                  </pic:blipFill>
                  <pic:spPr bwMode="auto">
                    <a:xfrm>
                      <a:off x="0" y="0"/>
                      <a:ext cx="2819400" cy="2019300"/>
                    </a:xfrm>
                    <a:prstGeom prst="rect">
                      <a:avLst/>
                    </a:prstGeom>
                    <a:noFill/>
                    <a:ln w="9525">
                      <a:noFill/>
                      <a:miter lim="800000"/>
                      <a:headEnd/>
                      <a:tailEnd/>
                    </a:ln>
                  </pic:spPr>
                </pic:pic>
              </a:graphicData>
            </a:graphic>
          </wp:inline>
        </w:drawing>
      </w:r>
    </w:p>
    <w:p w:rsidR="001646BE" w:rsidRPr="00AF515D" w:rsidRDefault="001646BE" w:rsidP="00893C47">
      <w:pPr>
        <w:spacing w:after="0"/>
        <w:rPr>
          <w:b/>
          <w:bCs/>
          <w:sz w:val="20"/>
          <w:szCs w:val="20"/>
        </w:rPr>
      </w:pPr>
      <w:r>
        <w:rPr>
          <w:b/>
          <w:bCs/>
          <w:sz w:val="20"/>
          <w:szCs w:val="20"/>
        </w:rPr>
        <w:t xml:space="preserve">Grafikon 13: </w:t>
      </w:r>
      <w:r w:rsidRPr="00AF515D">
        <w:rPr>
          <w:b/>
          <w:bCs/>
          <w:sz w:val="20"/>
          <w:szCs w:val="20"/>
        </w:rPr>
        <w:t>promjene nastale us</w:t>
      </w:r>
      <w:r>
        <w:rPr>
          <w:b/>
          <w:bCs/>
          <w:sz w:val="20"/>
          <w:szCs w:val="20"/>
        </w:rPr>
        <w:t xml:space="preserve">postavom FAB-a.     Grafikon 14: </w:t>
      </w:r>
      <w:r w:rsidRPr="00AF515D">
        <w:rPr>
          <w:b/>
          <w:bCs/>
          <w:sz w:val="20"/>
          <w:szCs w:val="20"/>
        </w:rPr>
        <w:t>upravljanje FAB-om u fazi razvoja.</w:t>
      </w:r>
    </w:p>
    <w:p w:rsidR="001646BE" w:rsidRDefault="001646BE" w:rsidP="00893C47">
      <w:pPr>
        <w:spacing w:after="0"/>
        <w:rPr>
          <w:sz w:val="20"/>
          <w:szCs w:val="20"/>
        </w:rPr>
      </w:pPr>
      <w:r>
        <w:rPr>
          <w:sz w:val="20"/>
          <w:szCs w:val="20"/>
        </w:rPr>
        <w:t xml:space="preserve">Izvor: </w:t>
      </w:r>
      <w:r w:rsidRPr="00E2031E">
        <w:rPr>
          <w:sz w:val="20"/>
          <w:szCs w:val="20"/>
        </w:rPr>
        <w:t>Performance Review Comision: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spacing w:after="0"/>
      </w:pPr>
    </w:p>
    <w:p w:rsidR="001646BE" w:rsidRDefault="001646BE" w:rsidP="00893C47">
      <w:pPr>
        <w:ind w:firstLine="360"/>
      </w:pPr>
      <w:r>
        <w:t>Implementacija se očekuje do 2010. godine, dok se početak operativnosti planira u 2011. godini. Analiza isplativosti (CBA) provedena za projekt NUAC pokazuje iznimno visoku dobit i poboljšanja. Dobit koja se planira ostvariti u 2013. godini iznosi 47 mil. eura</w:t>
      </w:r>
      <w:r w:rsidRPr="00CA7D9B">
        <w:t xml:space="preserve"> </w:t>
      </w:r>
      <w:r>
        <w:t>[</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pPr>
        <w:rPr>
          <w:b/>
          <w:bCs/>
        </w:rPr>
      </w:pPr>
    </w:p>
    <w:p w:rsidR="001646BE" w:rsidRDefault="001646BE" w:rsidP="00893C47">
      <w:pPr>
        <w:rPr>
          <w:b/>
          <w:bCs/>
        </w:rPr>
      </w:pPr>
      <w:r>
        <w:rPr>
          <w:b/>
          <w:bCs/>
        </w:rPr>
        <w:lastRenderedPageBreak/>
        <w:t>FAB SW PORTUGAL - SPAIN</w:t>
      </w:r>
    </w:p>
    <w:p w:rsidR="001646BE" w:rsidRPr="00680E59" w:rsidRDefault="001646BE" w:rsidP="00893C47">
      <w:pPr>
        <w:ind w:firstLine="360"/>
      </w:pPr>
      <w:r>
        <w:t>Funkcionalni blok zračnog prostora SW Portugal - Spain sastoji se od dvije zemlje članice - Portugala i Španjolske. Glavni prometni tokovi protežu se između glavnih aerodroma na kopnu, te prema Kanarima i nadalje prema Južnoj Americi. Španjolska kontrolira glavni prometni tok od UK-a prema Kanarima, dok se putem portugalskog FIR-a Santa Maria kontrolira glavnina oceanskog zračnog prostora. Slika 12 prikazuje FAB SW Portugal - Spain i njegove</w:t>
      </w:r>
      <w:r w:rsidRPr="004E420E">
        <w:t xml:space="preserve"> </w:t>
      </w:r>
      <w:r>
        <w:t>glavne prometne tokove.</w:t>
      </w:r>
    </w:p>
    <w:p w:rsidR="001646BE" w:rsidRDefault="00E02CBE" w:rsidP="00893C47">
      <w:pPr>
        <w:spacing w:after="0"/>
        <w:ind w:firstLine="426"/>
      </w:pPr>
      <w:r>
        <w:rPr>
          <w:noProof/>
          <w:lang w:eastAsia="hr-HR"/>
        </w:rPr>
        <w:drawing>
          <wp:inline distT="0" distB="0" distL="0" distR="0">
            <wp:extent cx="4191000" cy="3152775"/>
            <wp:effectExtent l="19050" t="0" r="0" b="0"/>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srcRect/>
                    <a:stretch>
                      <a:fillRect/>
                    </a:stretch>
                  </pic:blipFill>
                  <pic:spPr bwMode="auto">
                    <a:xfrm>
                      <a:off x="0" y="0"/>
                      <a:ext cx="4191000" cy="3152775"/>
                    </a:xfrm>
                    <a:prstGeom prst="rect">
                      <a:avLst/>
                    </a:prstGeom>
                    <a:noFill/>
                    <a:ln w="9525">
                      <a:noFill/>
                      <a:miter lim="800000"/>
                      <a:headEnd/>
                      <a:tailEnd/>
                    </a:ln>
                  </pic:spPr>
                </pic:pic>
              </a:graphicData>
            </a:graphic>
          </wp:inline>
        </w:drawing>
      </w:r>
    </w:p>
    <w:p w:rsidR="001646BE" w:rsidRPr="004002B8" w:rsidRDefault="001646BE" w:rsidP="00893C47">
      <w:pPr>
        <w:spacing w:after="0"/>
        <w:ind w:firstLine="360"/>
        <w:rPr>
          <w:b/>
          <w:bCs/>
          <w:sz w:val="20"/>
          <w:szCs w:val="20"/>
        </w:rPr>
      </w:pPr>
      <w:r>
        <w:rPr>
          <w:b/>
          <w:bCs/>
          <w:sz w:val="20"/>
          <w:szCs w:val="20"/>
        </w:rPr>
        <w:t xml:space="preserve">Slika 12: FAB </w:t>
      </w:r>
      <w:r w:rsidRPr="004002B8">
        <w:rPr>
          <w:b/>
          <w:bCs/>
          <w:sz w:val="20"/>
          <w:szCs w:val="20"/>
        </w:rPr>
        <w:t>SW Portugal - Spain i njegovi glavni prometni tokovi.</w:t>
      </w:r>
    </w:p>
    <w:p w:rsidR="001646BE" w:rsidRDefault="001646BE" w:rsidP="00893C47">
      <w:pPr>
        <w:spacing w:after="0"/>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line="240" w:lineRule="auto"/>
        <w:ind w:left="360"/>
        <w:rPr>
          <w:sz w:val="20"/>
          <w:szCs w:val="20"/>
        </w:rPr>
      </w:pPr>
    </w:p>
    <w:p w:rsidR="001646BE" w:rsidRDefault="001646BE" w:rsidP="00893C47">
      <w:pPr>
        <w:ind w:firstLine="360"/>
      </w:pPr>
      <w:r>
        <w:t>Postoje mnoge sličnosti u operativnim konceptima zemalja članica što olakšava uspostavu FAB-a, ali problemi bi se mogli javiti zbog velike različitosti u veličini ANSP-a Portugala i Španjolske, te zbog visokih ATCO troškova u Španjolskoj. Zemlje članice su geografski smještene na zapadnoj granici Europe, čime su prirodni partneri za uspostavu FAB-a. Međutim, treba uzeti u obzir i značajne prometne tokove koji se pružaju prema Maroku, što indicira da bi se uključivanjem Maroka u FAB značajno povećala eventualna dobit i poboljšanja. Trenutno se FAB nalazi u ranim fazama razvoja. Opći podaci o FAB-u SW Portugal - Spain prezentirani su u tablici 9.</w:t>
      </w:r>
    </w:p>
    <w:p w:rsidR="001646BE" w:rsidRDefault="001646BE" w:rsidP="00893C47"/>
    <w:p w:rsidR="001646BE" w:rsidRPr="0088510D" w:rsidRDefault="001646BE" w:rsidP="00893C47">
      <w:pPr>
        <w:spacing w:after="0" w:line="240" w:lineRule="auto"/>
        <w:rPr>
          <w:b/>
          <w:bCs/>
          <w:sz w:val="20"/>
          <w:szCs w:val="20"/>
        </w:rPr>
      </w:pPr>
      <w:r w:rsidRPr="0088510D">
        <w:rPr>
          <w:b/>
          <w:bCs/>
          <w:sz w:val="20"/>
          <w:szCs w:val="20"/>
        </w:rPr>
        <w:lastRenderedPageBreak/>
        <w:t>T</w:t>
      </w:r>
      <w:r>
        <w:rPr>
          <w:b/>
          <w:bCs/>
          <w:sz w:val="20"/>
          <w:szCs w:val="20"/>
        </w:rPr>
        <w:t xml:space="preserve">ablica 9: </w:t>
      </w:r>
      <w:r w:rsidRPr="0088510D">
        <w:rPr>
          <w:b/>
          <w:bCs/>
          <w:sz w:val="20"/>
          <w:szCs w:val="20"/>
        </w:rPr>
        <w:t>opći podaci o FAB-u SW Portugal - Spain</w:t>
      </w:r>
    </w:p>
    <w:tbl>
      <w:tblPr>
        <w:tblW w:w="91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7"/>
        <w:gridCol w:w="1158"/>
        <w:gridCol w:w="682"/>
        <w:gridCol w:w="1019"/>
        <w:gridCol w:w="892"/>
        <w:gridCol w:w="801"/>
        <w:gridCol w:w="1138"/>
        <w:gridCol w:w="1041"/>
        <w:gridCol w:w="1094"/>
      </w:tblGrid>
      <w:tr w:rsidR="001646BE" w:rsidRPr="003A4F00">
        <w:trPr>
          <w:trHeight w:val="1260"/>
        </w:trPr>
        <w:tc>
          <w:tcPr>
            <w:tcW w:w="1357" w:type="dxa"/>
            <w:vAlign w:val="center"/>
          </w:tcPr>
          <w:p w:rsidR="001646BE" w:rsidRPr="003A4F00" w:rsidRDefault="001646BE" w:rsidP="003A4F00">
            <w:pPr>
              <w:spacing w:after="0" w:line="240" w:lineRule="auto"/>
              <w:jc w:val="center"/>
              <w:rPr>
                <w:b/>
                <w:bCs/>
                <w:color w:val="000000"/>
                <w:sz w:val="20"/>
                <w:szCs w:val="20"/>
              </w:rPr>
            </w:pPr>
          </w:p>
        </w:tc>
        <w:tc>
          <w:tcPr>
            <w:tcW w:w="115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VELIčINA ZRAČNOG PROSTORA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(000km²)</w:t>
            </w:r>
          </w:p>
        </w:tc>
        <w:tc>
          <w:tcPr>
            <w:tcW w:w="68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SATI LETA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(mil)</w:t>
            </w:r>
          </w:p>
        </w:tc>
        <w:tc>
          <w:tcPr>
            <w:tcW w:w="1019"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(mlrd  EUR)</w:t>
            </w:r>
          </w:p>
        </w:tc>
        <w:tc>
          <w:tcPr>
            <w:tcW w:w="89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SEKTORI</w:t>
            </w:r>
          </w:p>
        </w:tc>
        <w:tc>
          <w:tcPr>
            <w:tcW w:w="80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BROJ ACC-a</w:t>
            </w:r>
          </w:p>
        </w:tc>
        <w:tc>
          <w:tcPr>
            <w:tcW w:w="113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ATFM KAŠNJENJE</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(min  / satu leta)</w:t>
            </w:r>
          </w:p>
        </w:tc>
        <w:tc>
          <w:tcPr>
            <w:tcW w:w="104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ATCO</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c>
          <w:tcPr>
            <w:tcW w:w="1094"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 PRUŽANJA USLUGA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r>
      <w:tr w:rsidR="001646BE" w:rsidRPr="003A4F00">
        <w:trPr>
          <w:trHeight w:val="378"/>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FAB</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7996</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2,3</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67</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7</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1,17</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265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504</w:t>
            </w:r>
          </w:p>
        </w:tc>
      </w:tr>
      <w:tr w:rsidR="001646BE" w:rsidRPr="003A4F00">
        <w:trPr>
          <w:trHeight w:val="393"/>
        </w:trPr>
        <w:tc>
          <w:tcPr>
            <w:tcW w:w="1357" w:type="dxa"/>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tc>
        <w:tc>
          <w:tcPr>
            <w:tcW w:w="1158" w:type="dxa"/>
            <w:vAlign w:val="center"/>
          </w:tcPr>
          <w:p w:rsidR="001646BE" w:rsidRPr="003A4F00" w:rsidRDefault="00EA745D" w:rsidP="003A4F00">
            <w:pPr>
              <w:spacing w:after="0" w:line="240" w:lineRule="auto"/>
              <w:jc w:val="center"/>
              <w:rPr>
                <w:color w:val="000000"/>
              </w:rPr>
            </w:pPr>
            <w:r>
              <w:rPr>
                <w:color w:val="000000"/>
                <w:sz w:val="22"/>
                <w:szCs w:val="22"/>
              </w:rPr>
              <w:t>17.</w:t>
            </w:r>
            <w:r w:rsidR="001646BE" w:rsidRPr="003A4F00">
              <w:rPr>
                <w:color w:val="000000"/>
                <w:sz w:val="22"/>
                <w:szCs w:val="22"/>
              </w:rPr>
              <w:t>483</w:t>
            </w:r>
          </w:p>
        </w:tc>
        <w:tc>
          <w:tcPr>
            <w:tcW w:w="682" w:type="dxa"/>
            <w:vAlign w:val="center"/>
          </w:tcPr>
          <w:p w:rsidR="001646BE" w:rsidRPr="003A4F00" w:rsidRDefault="001646BE" w:rsidP="003A4F00">
            <w:pPr>
              <w:spacing w:after="0" w:line="240" w:lineRule="auto"/>
              <w:jc w:val="center"/>
              <w:rPr>
                <w:color w:val="000000"/>
              </w:rPr>
            </w:pPr>
            <w:r w:rsidRPr="003A4F00">
              <w:rPr>
                <w:color w:val="000000"/>
                <w:sz w:val="22"/>
                <w:szCs w:val="22"/>
              </w:rPr>
              <w:t>16,4</w:t>
            </w:r>
          </w:p>
        </w:tc>
        <w:tc>
          <w:tcPr>
            <w:tcW w:w="1019" w:type="dxa"/>
            <w:vAlign w:val="center"/>
          </w:tcPr>
          <w:p w:rsidR="001646BE" w:rsidRPr="003A4F00" w:rsidRDefault="001646BE" w:rsidP="003A4F00">
            <w:pPr>
              <w:spacing w:after="0" w:line="240" w:lineRule="auto"/>
              <w:jc w:val="center"/>
              <w:rPr>
                <w:color w:val="000000"/>
              </w:rPr>
            </w:pPr>
            <w:r w:rsidRPr="003A4F00">
              <w:rPr>
                <w:color w:val="000000"/>
                <w:sz w:val="22"/>
                <w:szCs w:val="22"/>
              </w:rPr>
              <w:t>6,5</w:t>
            </w:r>
          </w:p>
        </w:tc>
        <w:tc>
          <w:tcPr>
            <w:tcW w:w="892" w:type="dxa"/>
            <w:vAlign w:val="center"/>
          </w:tcPr>
          <w:p w:rsidR="001646BE" w:rsidRPr="003A4F00" w:rsidRDefault="001646BE" w:rsidP="003A4F00">
            <w:pPr>
              <w:spacing w:after="0" w:line="240" w:lineRule="auto"/>
              <w:jc w:val="center"/>
              <w:rPr>
                <w:color w:val="000000"/>
              </w:rPr>
            </w:pPr>
            <w:r w:rsidRPr="003A4F00">
              <w:rPr>
                <w:color w:val="000000"/>
                <w:sz w:val="22"/>
                <w:szCs w:val="22"/>
              </w:rPr>
              <w:t>622</w:t>
            </w:r>
          </w:p>
        </w:tc>
        <w:tc>
          <w:tcPr>
            <w:tcW w:w="801" w:type="dxa"/>
            <w:vAlign w:val="center"/>
          </w:tcPr>
          <w:p w:rsidR="001646BE" w:rsidRPr="003A4F00" w:rsidRDefault="001646BE" w:rsidP="003A4F00">
            <w:pPr>
              <w:spacing w:after="0" w:line="240" w:lineRule="auto"/>
              <w:jc w:val="center"/>
              <w:rPr>
                <w:color w:val="000000"/>
              </w:rPr>
            </w:pPr>
            <w:r w:rsidRPr="003A4F00">
              <w:rPr>
                <w:color w:val="000000"/>
                <w:sz w:val="22"/>
                <w:szCs w:val="22"/>
              </w:rPr>
              <w:t>59</w:t>
            </w:r>
          </w:p>
        </w:tc>
        <w:tc>
          <w:tcPr>
            <w:tcW w:w="1138"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41"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94"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r>
      <w:tr w:rsidR="001646BE" w:rsidRPr="003A4F00">
        <w:trPr>
          <w:trHeight w:val="696"/>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p w:rsidR="001646BE" w:rsidRPr="003A4F00" w:rsidRDefault="001646BE" w:rsidP="003A4F00">
            <w:pPr>
              <w:spacing w:after="0" w:line="240" w:lineRule="auto"/>
              <w:jc w:val="center"/>
              <w:rPr>
                <w:b/>
                <w:bCs/>
                <w:color w:val="000000"/>
                <w:sz w:val="20"/>
                <w:szCs w:val="20"/>
              </w:rPr>
            </w:pPr>
            <w:r w:rsidRPr="003A4F00">
              <w:rPr>
                <w:color w:val="000000"/>
                <w:sz w:val="20"/>
                <w:szCs w:val="20"/>
              </w:rPr>
              <w:t>PROSJEK</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bl>
    <w:p w:rsidR="001646BE" w:rsidRPr="004A7EB6" w:rsidRDefault="001646BE" w:rsidP="00893C47">
      <w:pPr>
        <w:rPr>
          <w:sz w:val="20"/>
          <w:szCs w:val="20"/>
        </w:rPr>
      </w:pPr>
      <w:r w:rsidRPr="00E2031E">
        <w:rPr>
          <w:sz w:val="20"/>
          <w:szCs w:val="20"/>
        </w:rPr>
        <w:t>Izvor: Performance Review Com</w:t>
      </w:r>
      <w:r>
        <w:rPr>
          <w:sz w:val="20"/>
          <w:szCs w:val="20"/>
        </w:rPr>
        <w:t>m</w:t>
      </w:r>
      <w:r w:rsidRPr="00E2031E">
        <w:rPr>
          <w:sz w:val="20"/>
          <w:szCs w:val="20"/>
        </w:rPr>
        <w:t>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ind w:firstLine="360"/>
      </w:pPr>
    </w:p>
    <w:p w:rsidR="001646BE" w:rsidRDefault="001646BE" w:rsidP="00893C47">
      <w:pPr>
        <w:ind w:firstLine="360"/>
      </w:pPr>
      <w:r>
        <w:t>Promjene koje uspostava FAB-a donosi, a koje se tiču konfiguracije zračnog prostora, civilno-vojne suradnje, dizajna ruta i sektora, sigurnosti, naplate usluga, ATM sustava i obuke zaposlenih, prikazane su grafikonom 15. Operiranje i upravljanje FAB-om tijekom faze razvoja te metode postizanja željenih ciljeva, u pogledu kooperacije s ostalim FAB-ovima, procesa donošenja odluka, socijalnog dijaloga, uključenosti država i korisnika zračnog prostora, prikazano je na grafikonu 16.</w:t>
      </w:r>
    </w:p>
    <w:p w:rsidR="001646BE" w:rsidRDefault="001646BE" w:rsidP="00893C47">
      <w:pPr>
        <w:spacing w:after="0"/>
      </w:pPr>
    </w:p>
    <w:p w:rsidR="001646BE" w:rsidRDefault="00E02CBE" w:rsidP="00893C47">
      <w:pPr>
        <w:spacing w:after="0"/>
      </w:pPr>
      <w:r>
        <w:rPr>
          <w:noProof/>
          <w:lang w:eastAsia="hr-HR"/>
        </w:rPr>
        <w:drawing>
          <wp:inline distT="0" distB="0" distL="0" distR="0">
            <wp:extent cx="2771775" cy="2076450"/>
            <wp:effectExtent l="19050" t="0" r="9525" b="0"/>
            <wp:docPr id="28" name="Object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4"/>
                    <pic:cNvPicPr>
                      <a:picLocks noChangeArrowheads="1"/>
                    </pic:cNvPicPr>
                  </pic:nvPicPr>
                  <pic:blipFill>
                    <a:blip r:embed="rId36"/>
                    <a:srcRect t="-272" b="-391"/>
                    <a:stretch>
                      <a:fillRect/>
                    </a:stretch>
                  </pic:blipFill>
                  <pic:spPr bwMode="auto">
                    <a:xfrm>
                      <a:off x="0" y="0"/>
                      <a:ext cx="2771775" cy="2076450"/>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714625" cy="2171700"/>
            <wp:effectExtent l="19050" t="0" r="9525" b="0"/>
            <wp:docPr id="29" name="Object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6"/>
                    <pic:cNvPicPr>
                      <a:picLocks noChangeArrowheads="1"/>
                    </pic:cNvPicPr>
                  </pic:nvPicPr>
                  <pic:blipFill>
                    <a:blip r:embed="rId37"/>
                    <a:srcRect/>
                    <a:stretch>
                      <a:fillRect/>
                    </a:stretch>
                  </pic:blipFill>
                  <pic:spPr bwMode="auto">
                    <a:xfrm>
                      <a:off x="0" y="0"/>
                      <a:ext cx="2714625" cy="2171700"/>
                    </a:xfrm>
                    <a:prstGeom prst="rect">
                      <a:avLst/>
                    </a:prstGeom>
                    <a:noFill/>
                    <a:ln w="9525">
                      <a:noFill/>
                      <a:miter lim="800000"/>
                      <a:headEnd/>
                      <a:tailEnd/>
                    </a:ln>
                  </pic:spPr>
                </pic:pic>
              </a:graphicData>
            </a:graphic>
          </wp:inline>
        </w:drawing>
      </w:r>
    </w:p>
    <w:p w:rsidR="001646BE" w:rsidRPr="00FE559F" w:rsidRDefault="001646BE" w:rsidP="00893C47">
      <w:pPr>
        <w:spacing w:after="0"/>
        <w:rPr>
          <w:b/>
          <w:bCs/>
          <w:sz w:val="20"/>
          <w:szCs w:val="20"/>
        </w:rPr>
      </w:pPr>
      <w:r w:rsidRPr="00FE559F">
        <w:rPr>
          <w:b/>
          <w:bCs/>
          <w:sz w:val="20"/>
          <w:szCs w:val="20"/>
        </w:rPr>
        <w:t>Grafikon 1</w:t>
      </w:r>
      <w:r>
        <w:rPr>
          <w:b/>
          <w:bCs/>
          <w:sz w:val="20"/>
          <w:szCs w:val="20"/>
        </w:rPr>
        <w:t xml:space="preserve">5: </w:t>
      </w:r>
      <w:r w:rsidRPr="00FE559F">
        <w:rPr>
          <w:b/>
          <w:bCs/>
          <w:sz w:val="20"/>
          <w:szCs w:val="20"/>
        </w:rPr>
        <w:t>promjene nastale us</w:t>
      </w:r>
      <w:r>
        <w:rPr>
          <w:b/>
          <w:bCs/>
          <w:sz w:val="20"/>
          <w:szCs w:val="20"/>
        </w:rPr>
        <w:t xml:space="preserve">postavom FAB-a.       Grafikon 16: </w:t>
      </w:r>
      <w:r w:rsidRPr="00FE559F">
        <w:rPr>
          <w:b/>
          <w:bCs/>
          <w:sz w:val="20"/>
          <w:szCs w:val="20"/>
        </w:rPr>
        <w:t>upravljanje FAB-om u fazi razvoja.</w:t>
      </w:r>
    </w:p>
    <w:p w:rsidR="001646BE" w:rsidRDefault="001646BE" w:rsidP="00893C47">
      <w:pPr>
        <w:spacing w:after="0"/>
        <w:rPr>
          <w:sz w:val="20"/>
          <w:szCs w:val="20"/>
        </w:rPr>
      </w:pPr>
      <w:r>
        <w:rPr>
          <w:sz w:val="20"/>
          <w:szCs w:val="20"/>
        </w:rPr>
        <w:t xml:space="preserve">Izvor: </w:t>
      </w:r>
      <w:r w:rsidRPr="00E2031E">
        <w:rPr>
          <w:sz w:val="20"/>
          <w:szCs w:val="20"/>
        </w:rPr>
        <w:t>Performance Review Comision: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spacing w:after="0" w:line="240" w:lineRule="auto"/>
        <w:rPr>
          <w:sz w:val="20"/>
          <w:szCs w:val="20"/>
        </w:rPr>
      </w:pPr>
    </w:p>
    <w:p w:rsidR="001646BE" w:rsidRDefault="001646BE" w:rsidP="00893C47">
      <w:pPr>
        <w:spacing w:after="0" w:line="240" w:lineRule="auto"/>
        <w:rPr>
          <w:sz w:val="20"/>
          <w:szCs w:val="20"/>
        </w:rPr>
      </w:pPr>
    </w:p>
    <w:p w:rsidR="001646BE" w:rsidRDefault="001646BE" w:rsidP="00893C47">
      <w:r>
        <w:t>Trenutno nema određenih vremenskih okvira za implementaciju i početak operacija FAB-a [</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p w:rsidR="001646BE" w:rsidRDefault="001646BE" w:rsidP="00893C47">
      <w:pPr>
        <w:rPr>
          <w:b/>
          <w:bCs/>
        </w:rPr>
      </w:pPr>
      <w:r>
        <w:rPr>
          <w:b/>
          <w:bCs/>
        </w:rPr>
        <w:lastRenderedPageBreak/>
        <w:t>FAB UK - IRELAND</w:t>
      </w:r>
    </w:p>
    <w:p w:rsidR="001646BE" w:rsidRPr="00016F6F" w:rsidRDefault="001646BE" w:rsidP="00893C47">
      <w:pPr>
        <w:ind w:firstLine="360"/>
      </w:pPr>
      <w:r>
        <w:t>Funkcionalni blok zračnog prostora UK - Ireland sastoji se od dvije zemlje članice - UK i Irske. Glavnina prometnih tokova povezuje londonske aerodrome s europskim kopnom. Također, postoje značajni oceanski prometni tokovi te se ističe povezanost glavnih tokova sa zračnim prostorom FAB-a EC. Slika 13 prikazuje FAB UK - Ireland i njegove glavne prometne tokove.</w:t>
      </w:r>
    </w:p>
    <w:p w:rsidR="001646BE" w:rsidRDefault="00E02CBE" w:rsidP="00893C47">
      <w:pPr>
        <w:spacing w:after="0"/>
      </w:pPr>
      <w:r>
        <w:rPr>
          <w:noProof/>
          <w:lang w:eastAsia="hr-HR"/>
        </w:rPr>
        <w:drawing>
          <wp:inline distT="0" distB="0" distL="0" distR="0">
            <wp:extent cx="4429125" cy="3305175"/>
            <wp:effectExtent l="19050" t="0" r="9525"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srcRect/>
                    <a:stretch>
                      <a:fillRect/>
                    </a:stretch>
                  </pic:blipFill>
                  <pic:spPr bwMode="auto">
                    <a:xfrm>
                      <a:off x="0" y="0"/>
                      <a:ext cx="4429125" cy="3305175"/>
                    </a:xfrm>
                    <a:prstGeom prst="rect">
                      <a:avLst/>
                    </a:prstGeom>
                    <a:noFill/>
                    <a:ln w="9525">
                      <a:noFill/>
                      <a:miter lim="800000"/>
                      <a:headEnd/>
                      <a:tailEnd/>
                    </a:ln>
                  </pic:spPr>
                </pic:pic>
              </a:graphicData>
            </a:graphic>
          </wp:inline>
        </w:drawing>
      </w:r>
    </w:p>
    <w:p w:rsidR="001646BE" w:rsidRPr="00DD54F6" w:rsidRDefault="001646BE" w:rsidP="00893C47">
      <w:pPr>
        <w:spacing w:after="0"/>
        <w:ind w:firstLine="360"/>
        <w:rPr>
          <w:b/>
          <w:bCs/>
          <w:sz w:val="20"/>
          <w:szCs w:val="20"/>
        </w:rPr>
      </w:pPr>
      <w:r>
        <w:rPr>
          <w:b/>
          <w:bCs/>
          <w:sz w:val="20"/>
          <w:szCs w:val="20"/>
        </w:rPr>
        <w:t xml:space="preserve">Slika 13: FAB </w:t>
      </w:r>
      <w:r w:rsidRPr="00DD54F6">
        <w:rPr>
          <w:b/>
          <w:bCs/>
          <w:sz w:val="20"/>
          <w:szCs w:val="20"/>
        </w:rPr>
        <w:t>UK - Ireland i njegovi glavni prometni tokovi.</w:t>
      </w:r>
    </w:p>
    <w:p w:rsidR="001646BE" w:rsidRDefault="001646BE" w:rsidP="00893C47">
      <w:pPr>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ind w:firstLine="360"/>
      </w:pPr>
      <w:r>
        <w:t>Dugogodišnja bliska suradnja dviju zemalja članica i ANSP-a te slični operativni koncepti uvelike olakšavaju uspostavu FAB-a. Inicijativa UK - Ireland prva je FAB inicijativa uspostavljena unutar SES legislative (FAB je postao operativan 14.7.2008. godine). S obzirom na dugogodišnju blisku suradnju, ustroj FAB-a neće donijeti značajne promjene, pa se ne očekuju značajna poboljšanja i dobit. Ipak, dugoročno gledano postoje velike šanse osjetnog unaprjeđenja performansi unutar FAB-a, posebice što se tiče sigurnosti, kapaciteta i efikasnosti letova. Provedena CBA pokazuje skromnu razinu poboljšanja i dobiti, te za 2013. godinu ona iznosi 12 mil. eura. Opći podaci o FAB-u UK - Ireland prezentirani su u tablici 10.</w:t>
      </w:r>
    </w:p>
    <w:p w:rsidR="001646BE" w:rsidRDefault="001646BE" w:rsidP="00893C47">
      <w:pPr>
        <w:ind w:firstLine="360"/>
      </w:pPr>
    </w:p>
    <w:p w:rsidR="001646BE" w:rsidRPr="00BD14E5" w:rsidRDefault="001646BE" w:rsidP="00893C47">
      <w:pPr>
        <w:spacing w:after="0" w:line="240" w:lineRule="auto"/>
        <w:rPr>
          <w:b/>
          <w:bCs/>
          <w:sz w:val="20"/>
          <w:szCs w:val="20"/>
        </w:rPr>
      </w:pPr>
      <w:r>
        <w:rPr>
          <w:b/>
          <w:bCs/>
          <w:sz w:val="20"/>
          <w:szCs w:val="20"/>
        </w:rPr>
        <w:lastRenderedPageBreak/>
        <w:t xml:space="preserve">Tablica 10: opći podaci o FAB-u </w:t>
      </w:r>
      <w:r w:rsidRPr="00BD14E5">
        <w:rPr>
          <w:b/>
          <w:bCs/>
          <w:sz w:val="20"/>
          <w:szCs w:val="20"/>
        </w:rPr>
        <w:t>UK - Ireland</w:t>
      </w:r>
    </w:p>
    <w:tbl>
      <w:tblPr>
        <w:tblW w:w="91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57"/>
        <w:gridCol w:w="1158"/>
        <w:gridCol w:w="682"/>
        <w:gridCol w:w="1019"/>
        <w:gridCol w:w="892"/>
        <w:gridCol w:w="801"/>
        <w:gridCol w:w="1138"/>
        <w:gridCol w:w="1041"/>
        <w:gridCol w:w="1094"/>
      </w:tblGrid>
      <w:tr w:rsidR="001646BE" w:rsidRPr="003A4F00">
        <w:trPr>
          <w:trHeight w:val="1260"/>
        </w:trPr>
        <w:tc>
          <w:tcPr>
            <w:tcW w:w="1357" w:type="dxa"/>
            <w:vAlign w:val="center"/>
          </w:tcPr>
          <w:p w:rsidR="001646BE" w:rsidRPr="003A4F00" w:rsidRDefault="001646BE" w:rsidP="003A4F00">
            <w:pPr>
              <w:spacing w:after="0" w:line="240" w:lineRule="auto"/>
              <w:jc w:val="center"/>
              <w:rPr>
                <w:b/>
                <w:bCs/>
                <w:color w:val="000000"/>
                <w:sz w:val="20"/>
                <w:szCs w:val="20"/>
              </w:rPr>
            </w:pPr>
          </w:p>
        </w:tc>
        <w:tc>
          <w:tcPr>
            <w:tcW w:w="115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VELIčINA ZRAČNOG PROSTORA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(000km²)</w:t>
            </w:r>
          </w:p>
        </w:tc>
        <w:tc>
          <w:tcPr>
            <w:tcW w:w="68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SATI LETA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(mil)</w:t>
            </w:r>
          </w:p>
        </w:tc>
        <w:tc>
          <w:tcPr>
            <w:tcW w:w="1019"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(mlrd  EUR)</w:t>
            </w:r>
          </w:p>
        </w:tc>
        <w:tc>
          <w:tcPr>
            <w:tcW w:w="892"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SEKTORI</w:t>
            </w:r>
          </w:p>
        </w:tc>
        <w:tc>
          <w:tcPr>
            <w:tcW w:w="80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BROJ ACC-a</w:t>
            </w:r>
          </w:p>
        </w:tc>
        <w:tc>
          <w:tcPr>
            <w:tcW w:w="1138"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ATFM KAŠNJENJE</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(min  / satu leta)</w:t>
            </w:r>
          </w:p>
        </w:tc>
        <w:tc>
          <w:tcPr>
            <w:tcW w:w="1041"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ATCO</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TROŠAK</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c>
          <w:tcPr>
            <w:tcW w:w="1094" w:type="dxa"/>
            <w:vAlign w:val="center"/>
          </w:tcPr>
          <w:p w:rsidR="001646BE" w:rsidRPr="003A4F00" w:rsidRDefault="001646BE" w:rsidP="003A4F00">
            <w:pPr>
              <w:spacing w:after="0" w:line="240" w:lineRule="auto"/>
              <w:jc w:val="center"/>
              <w:rPr>
                <w:b/>
                <w:bCs/>
                <w:color w:val="000000"/>
                <w:sz w:val="16"/>
                <w:szCs w:val="16"/>
              </w:rPr>
            </w:pPr>
            <w:r w:rsidRPr="003A4F00">
              <w:rPr>
                <w:color w:val="000000"/>
                <w:sz w:val="16"/>
                <w:szCs w:val="16"/>
              </w:rPr>
              <w:t>ATM/CNS TROŠAK PRUŽANJA USLUGA</w:t>
            </w:r>
          </w:p>
          <w:p w:rsidR="001646BE" w:rsidRPr="003A4F00" w:rsidRDefault="001646BE" w:rsidP="003A4F00">
            <w:pPr>
              <w:spacing w:after="0" w:line="240" w:lineRule="auto"/>
              <w:jc w:val="center"/>
              <w:rPr>
                <w:b/>
                <w:bCs/>
                <w:color w:val="000000"/>
                <w:sz w:val="16"/>
                <w:szCs w:val="16"/>
              </w:rPr>
            </w:pPr>
            <w:r w:rsidRPr="003A4F00">
              <w:rPr>
                <w:color w:val="000000"/>
                <w:sz w:val="16"/>
                <w:szCs w:val="16"/>
              </w:rPr>
              <w:t>(EUR  / satu leta)</w:t>
            </w:r>
          </w:p>
        </w:tc>
      </w:tr>
      <w:tr w:rsidR="001646BE" w:rsidRPr="003A4F00">
        <w:trPr>
          <w:trHeight w:val="378"/>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FAB</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1337</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2,2</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0,9</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88</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6</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0,98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102</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r w:rsidR="001646BE" w:rsidRPr="003A4F00">
        <w:trPr>
          <w:trHeight w:val="393"/>
        </w:trPr>
        <w:tc>
          <w:tcPr>
            <w:tcW w:w="1357" w:type="dxa"/>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tc>
        <w:tc>
          <w:tcPr>
            <w:tcW w:w="1158" w:type="dxa"/>
            <w:vAlign w:val="center"/>
          </w:tcPr>
          <w:p w:rsidR="001646BE" w:rsidRPr="003A4F00" w:rsidRDefault="00EA745D" w:rsidP="003A4F00">
            <w:pPr>
              <w:spacing w:after="0" w:line="240" w:lineRule="auto"/>
              <w:jc w:val="center"/>
              <w:rPr>
                <w:color w:val="000000"/>
              </w:rPr>
            </w:pPr>
            <w:r>
              <w:rPr>
                <w:color w:val="000000"/>
                <w:sz w:val="22"/>
                <w:szCs w:val="22"/>
              </w:rPr>
              <w:t>17.</w:t>
            </w:r>
            <w:r w:rsidR="001646BE" w:rsidRPr="003A4F00">
              <w:rPr>
                <w:color w:val="000000"/>
                <w:sz w:val="22"/>
                <w:szCs w:val="22"/>
              </w:rPr>
              <w:t>483</w:t>
            </w:r>
          </w:p>
        </w:tc>
        <w:tc>
          <w:tcPr>
            <w:tcW w:w="682" w:type="dxa"/>
            <w:vAlign w:val="center"/>
          </w:tcPr>
          <w:p w:rsidR="001646BE" w:rsidRPr="003A4F00" w:rsidRDefault="001646BE" w:rsidP="003A4F00">
            <w:pPr>
              <w:spacing w:after="0" w:line="240" w:lineRule="auto"/>
              <w:jc w:val="center"/>
              <w:rPr>
                <w:color w:val="000000"/>
              </w:rPr>
            </w:pPr>
            <w:r w:rsidRPr="003A4F00">
              <w:rPr>
                <w:color w:val="000000"/>
                <w:sz w:val="22"/>
                <w:szCs w:val="22"/>
              </w:rPr>
              <w:t>16,4</w:t>
            </w:r>
          </w:p>
        </w:tc>
        <w:tc>
          <w:tcPr>
            <w:tcW w:w="1019" w:type="dxa"/>
            <w:vAlign w:val="center"/>
          </w:tcPr>
          <w:p w:rsidR="001646BE" w:rsidRPr="003A4F00" w:rsidRDefault="001646BE" w:rsidP="003A4F00">
            <w:pPr>
              <w:spacing w:after="0" w:line="240" w:lineRule="auto"/>
              <w:jc w:val="center"/>
              <w:rPr>
                <w:color w:val="000000"/>
              </w:rPr>
            </w:pPr>
            <w:r w:rsidRPr="003A4F00">
              <w:rPr>
                <w:color w:val="000000"/>
                <w:sz w:val="22"/>
                <w:szCs w:val="22"/>
              </w:rPr>
              <w:t>6,5</w:t>
            </w:r>
          </w:p>
        </w:tc>
        <w:tc>
          <w:tcPr>
            <w:tcW w:w="892" w:type="dxa"/>
            <w:vAlign w:val="center"/>
          </w:tcPr>
          <w:p w:rsidR="001646BE" w:rsidRPr="003A4F00" w:rsidRDefault="001646BE" w:rsidP="003A4F00">
            <w:pPr>
              <w:spacing w:after="0" w:line="240" w:lineRule="auto"/>
              <w:jc w:val="center"/>
              <w:rPr>
                <w:color w:val="000000"/>
              </w:rPr>
            </w:pPr>
            <w:r w:rsidRPr="003A4F00">
              <w:rPr>
                <w:color w:val="000000"/>
                <w:sz w:val="22"/>
                <w:szCs w:val="22"/>
              </w:rPr>
              <w:t>622</w:t>
            </w:r>
          </w:p>
        </w:tc>
        <w:tc>
          <w:tcPr>
            <w:tcW w:w="801" w:type="dxa"/>
            <w:vAlign w:val="center"/>
          </w:tcPr>
          <w:p w:rsidR="001646BE" w:rsidRPr="003A4F00" w:rsidRDefault="001646BE" w:rsidP="003A4F00">
            <w:pPr>
              <w:spacing w:after="0" w:line="240" w:lineRule="auto"/>
              <w:jc w:val="center"/>
              <w:rPr>
                <w:color w:val="000000"/>
              </w:rPr>
            </w:pPr>
            <w:r w:rsidRPr="003A4F00">
              <w:rPr>
                <w:color w:val="000000"/>
                <w:sz w:val="22"/>
                <w:szCs w:val="22"/>
              </w:rPr>
              <w:t>59</w:t>
            </w:r>
          </w:p>
        </w:tc>
        <w:tc>
          <w:tcPr>
            <w:tcW w:w="1138"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41"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94" w:type="dxa"/>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r>
      <w:tr w:rsidR="001646BE" w:rsidRPr="003A4F00">
        <w:trPr>
          <w:trHeight w:val="696"/>
        </w:trPr>
        <w:tc>
          <w:tcPr>
            <w:tcW w:w="1357" w:type="dxa"/>
            <w:shd w:val="clear" w:color="auto" w:fill="C0C0C0"/>
            <w:vAlign w:val="center"/>
          </w:tcPr>
          <w:p w:rsidR="001646BE" w:rsidRPr="003A4F00" w:rsidRDefault="001646BE" w:rsidP="003A4F00">
            <w:pPr>
              <w:spacing w:after="0" w:line="240" w:lineRule="auto"/>
              <w:jc w:val="center"/>
              <w:rPr>
                <w:b/>
                <w:bCs/>
                <w:color w:val="000000"/>
                <w:sz w:val="20"/>
                <w:szCs w:val="20"/>
              </w:rPr>
            </w:pPr>
            <w:r w:rsidRPr="003A4F00">
              <w:rPr>
                <w:color w:val="000000"/>
                <w:sz w:val="20"/>
                <w:szCs w:val="20"/>
              </w:rPr>
              <w:t>EUROPA</w:t>
            </w:r>
          </w:p>
          <w:p w:rsidR="001646BE" w:rsidRPr="003A4F00" w:rsidRDefault="001646BE" w:rsidP="003A4F00">
            <w:pPr>
              <w:spacing w:after="0" w:line="240" w:lineRule="auto"/>
              <w:jc w:val="center"/>
              <w:rPr>
                <w:b/>
                <w:bCs/>
                <w:color w:val="000000"/>
                <w:sz w:val="20"/>
                <w:szCs w:val="20"/>
              </w:rPr>
            </w:pPr>
            <w:r w:rsidRPr="003A4F00">
              <w:rPr>
                <w:color w:val="000000"/>
                <w:sz w:val="20"/>
                <w:szCs w:val="20"/>
              </w:rPr>
              <w:t>PROSJEK</w:t>
            </w:r>
          </w:p>
        </w:tc>
        <w:tc>
          <w:tcPr>
            <w:tcW w:w="115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68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019"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92"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80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w:t>
            </w:r>
          </w:p>
        </w:tc>
        <w:tc>
          <w:tcPr>
            <w:tcW w:w="1138"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0,8</w:t>
            </w:r>
          </w:p>
        </w:tc>
        <w:tc>
          <w:tcPr>
            <w:tcW w:w="1041"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125</w:t>
            </w:r>
          </w:p>
        </w:tc>
        <w:tc>
          <w:tcPr>
            <w:tcW w:w="1094" w:type="dxa"/>
            <w:shd w:val="clear" w:color="auto" w:fill="C0C0C0"/>
            <w:vAlign w:val="center"/>
          </w:tcPr>
          <w:p w:rsidR="001646BE" w:rsidRPr="003A4F00" w:rsidRDefault="001646BE" w:rsidP="003A4F00">
            <w:pPr>
              <w:spacing w:after="0" w:line="240" w:lineRule="auto"/>
              <w:jc w:val="center"/>
              <w:rPr>
                <w:color w:val="000000"/>
              </w:rPr>
            </w:pPr>
            <w:r w:rsidRPr="003A4F00">
              <w:rPr>
                <w:color w:val="000000"/>
                <w:sz w:val="22"/>
                <w:szCs w:val="22"/>
              </w:rPr>
              <w:t>400</w:t>
            </w:r>
          </w:p>
        </w:tc>
      </w:tr>
    </w:tbl>
    <w:p w:rsidR="001646BE" w:rsidRPr="004A7EB6" w:rsidRDefault="001646BE" w:rsidP="00893C47">
      <w:pPr>
        <w:rPr>
          <w:sz w:val="20"/>
          <w:szCs w:val="20"/>
        </w:rPr>
      </w:pPr>
      <w:r w:rsidRPr="00E2031E">
        <w:rPr>
          <w:sz w:val="20"/>
          <w:szCs w:val="20"/>
        </w:rPr>
        <w:t>Izvor: Performance Review Com</w:t>
      </w:r>
      <w:r>
        <w:rPr>
          <w:sz w:val="20"/>
          <w:szCs w:val="20"/>
        </w:rPr>
        <w:t>m</w:t>
      </w:r>
      <w:r w:rsidRPr="00E2031E">
        <w:rPr>
          <w:sz w:val="20"/>
          <w:szCs w:val="20"/>
        </w:rPr>
        <w:t>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ind w:firstLine="360"/>
      </w:pPr>
      <w:r>
        <w:t>Promjene koje uspostava FAB-a donosi, a koje se tiču konfiguracije zračnog prostora, civilno-vojne suradnje, dizajna ruta i sektora, sigurnosti, naplate usluga, ATM sustava i obuke zaposlenih, prikazane su grafikonom 17. Operiranje i upravljanje FAB-om tijekom faze razvoja te metode postizanja željenih ciljeva, u pogledu kooperacije s ostalim FAB-ovima, procesa donošenja odluka, socijalnog dijaloga, uključenosti država i korisnika zračnog prostora, prikazano je na grafikonu 18.</w:t>
      </w:r>
    </w:p>
    <w:p w:rsidR="001646BE" w:rsidRDefault="001646BE" w:rsidP="00893C47">
      <w:pPr>
        <w:spacing w:after="0"/>
      </w:pPr>
    </w:p>
    <w:p w:rsidR="001646BE" w:rsidRDefault="00E02CBE" w:rsidP="00893C47">
      <w:pPr>
        <w:spacing w:after="0"/>
      </w:pPr>
      <w:r>
        <w:rPr>
          <w:noProof/>
          <w:lang w:eastAsia="hr-HR"/>
        </w:rPr>
        <w:drawing>
          <wp:inline distT="0" distB="0" distL="0" distR="0">
            <wp:extent cx="2790825" cy="2124075"/>
            <wp:effectExtent l="19050" t="0" r="9525" b="0"/>
            <wp:docPr id="31" name="Object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9"/>
                    <pic:cNvPicPr>
                      <a:picLocks noChangeArrowheads="1"/>
                    </pic:cNvPicPr>
                  </pic:nvPicPr>
                  <pic:blipFill>
                    <a:blip r:embed="rId39"/>
                    <a:srcRect t="-266" r="-23" b="-323"/>
                    <a:stretch>
                      <a:fillRect/>
                    </a:stretch>
                  </pic:blipFill>
                  <pic:spPr bwMode="auto">
                    <a:xfrm>
                      <a:off x="0" y="0"/>
                      <a:ext cx="2790825" cy="2124075"/>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724150" cy="2047875"/>
            <wp:effectExtent l="19050" t="0" r="0" b="0"/>
            <wp:docPr id="32" name="Object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41"/>
                    <pic:cNvPicPr>
                      <a:picLocks noChangeArrowheads="1"/>
                    </pic:cNvPicPr>
                  </pic:nvPicPr>
                  <pic:blipFill>
                    <a:blip r:embed="rId40"/>
                    <a:srcRect/>
                    <a:stretch>
                      <a:fillRect/>
                    </a:stretch>
                  </pic:blipFill>
                  <pic:spPr bwMode="auto">
                    <a:xfrm>
                      <a:off x="0" y="0"/>
                      <a:ext cx="2724150" cy="2047875"/>
                    </a:xfrm>
                    <a:prstGeom prst="rect">
                      <a:avLst/>
                    </a:prstGeom>
                    <a:noFill/>
                    <a:ln w="9525">
                      <a:noFill/>
                      <a:miter lim="800000"/>
                      <a:headEnd/>
                      <a:tailEnd/>
                    </a:ln>
                  </pic:spPr>
                </pic:pic>
              </a:graphicData>
            </a:graphic>
          </wp:inline>
        </w:drawing>
      </w:r>
    </w:p>
    <w:p w:rsidR="001646BE" w:rsidRPr="00BD14E5" w:rsidRDefault="001646BE" w:rsidP="00893C47">
      <w:pPr>
        <w:spacing w:after="0"/>
        <w:rPr>
          <w:b/>
          <w:bCs/>
          <w:sz w:val="20"/>
          <w:szCs w:val="20"/>
        </w:rPr>
      </w:pPr>
      <w:r>
        <w:rPr>
          <w:b/>
          <w:bCs/>
          <w:sz w:val="20"/>
          <w:szCs w:val="20"/>
        </w:rPr>
        <w:t xml:space="preserve">Grafikon 17: </w:t>
      </w:r>
      <w:r w:rsidRPr="00BD14E5">
        <w:rPr>
          <w:b/>
          <w:bCs/>
          <w:sz w:val="20"/>
          <w:szCs w:val="20"/>
        </w:rPr>
        <w:t>promjene nastale us</w:t>
      </w:r>
      <w:r>
        <w:rPr>
          <w:b/>
          <w:bCs/>
          <w:sz w:val="20"/>
          <w:szCs w:val="20"/>
        </w:rPr>
        <w:t xml:space="preserve">postavom FAB-a.       Grafikon 18: </w:t>
      </w:r>
      <w:r w:rsidRPr="00BD14E5">
        <w:rPr>
          <w:b/>
          <w:bCs/>
          <w:sz w:val="20"/>
          <w:szCs w:val="20"/>
        </w:rPr>
        <w:t>upravljanje FAB-om u fazi razvoja.</w:t>
      </w:r>
    </w:p>
    <w:p w:rsidR="001646BE" w:rsidRDefault="001646BE" w:rsidP="00893C47">
      <w:pPr>
        <w:spacing w:after="0"/>
        <w:rPr>
          <w:sz w:val="20"/>
          <w:szCs w:val="20"/>
        </w:rPr>
      </w:pPr>
      <w:r>
        <w:rPr>
          <w:sz w:val="20"/>
          <w:szCs w:val="20"/>
        </w:rPr>
        <w:t xml:space="preserve">Izvor: </w:t>
      </w:r>
      <w:r w:rsidRPr="00E2031E">
        <w:rPr>
          <w:sz w:val="20"/>
          <w:szCs w:val="20"/>
        </w:rPr>
        <w:t>Performance Review Comision:</w:t>
      </w:r>
      <w:r>
        <w:rPr>
          <w:sz w:val="20"/>
          <w:szCs w:val="20"/>
        </w:rPr>
        <w:t xml:space="preserve"> </w:t>
      </w:r>
      <w:r w:rsidRPr="00E2031E">
        <w:rPr>
          <w:sz w:val="20"/>
          <w:szCs w:val="20"/>
        </w:rPr>
        <w:t>“Evaluation of FAB initiatives and their contribution to performance improvement“, Eurocontrol 2008.</w:t>
      </w:r>
    </w:p>
    <w:p w:rsidR="001646BE" w:rsidRDefault="001646BE" w:rsidP="00893C47">
      <w:pPr>
        <w:spacing w:after="0" w:line="240" w:lineRule="auto"/>
        <w:rPr>
          <w:sz w:val="20"/>
          <w:szCs w:val="20"/>
        </w:rPr>
      </w:pPr>
    </w:p>
    <w:p w:rsidR="001646BE" w:rsidRDefault="001646BE" w:rsidP="00893C47">
      <w:pPr>
        <w:ind w:firstLine="360"/>
      </w:pPr>
      <w:r>
        <w:t>Početkom 2008. godine implementiran je FAB UK – Ireland, te je 14.7.2008. godine počeo s operacijama kao prva ostvarena FAB inicijativa unutar SES legislative</w:t>
      </w:r>
      <w:r w:rsidRPr="00CA7D9B">
        <w:t xml:space="preserve"> </w:t>
      </w:r>
      <w:r>
        <w:t>[</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pPr>
        <w:ind w:firstLine="360"/>
      </w:pPr>
    </w:p>
    <w:p w:rsidR="001646BE" w:rsidRDefault="001646BE" w:rsidP="00893C47">
      <w:pPr>
        <w:pStyle w:val="Heading2"/>
        <w:ind w:left="705" w:hanging="705"/>
        <w:jc w:val="left"/>
      </w:pPr>
      <w:bookmarkStart w:id="32" w:name="_Toc296339021"/>
      <w:r>
        <w:lastRenderedPageBreak/>
        <w:t>3.3</w:t>
      </w:r>
      <w:r>
        <w:tab/>
        <w:t>KOMPARATIVNA ANALIZA FUNKCIONALNIH BLOKOVA ZRAČNOG PROSTORA</w:t>
      </w:r>
      <w:bookmarkEnd w:id="32"/>
    </w:p>
    <w:p w:rsidR="001646BE" w:rsidRDefault="001646BE" w:rsidP="00893C47"/>
    <w:p w:rsidR="001646BE" w:rsidRDefault="001646BE" w:rsidP="00893C47">
      <w:pPr>
        <w:ind w:firstLine="360"/>
      </w:pPr>
      <w:r>
        <w:t>Komparativna analiza funkcionalnih blokova zračnog prostora provodi se na temelju analize osnovnih karakteristika svakog pojedinačnog FAB-a. Analiziraju se glavne karakteristike, vremenski okviri, napredak procesa implementacije, te promjene nastale uspostavom FAB-ova (zračni prostor, sigurnost, sustavi i pružanje usluga).</w:t>
      </w:r>
    </w:p>
    <w:p w:rsidR="001646BE" w:rsidRDefault="001646BE" w:rsidP="00893C47">
      <w:pPr>
        <w:ind w:firstLine="360"/>
      </w:pPr>
      <w:r>
        <w:t xml:space="preserve">Razvijeno je ukupno devet FAB inicijativa, od kojih je trenutno samo FAB UK - Ireland operativan, dok su ostali FAB-ovi u različitim fazama razvoja. Razvoj FAB-ova ogleda se kroz šest faza razvoja: prijedlog i osnivanje, studija isplativosti, odlučivanje, pripreme za implementaciju, implementacija te početak operacija. Trenutno stanje i planirani napredak FAB-ova prikazan je na slici 14. </w:t>
      </w:r>
    </w:p>
    <w:p w:rsidR="001646BE" w:rsidRDefault="00E02CBE" w:rsidP="00893C47">
      <w:pPr>
        <w:spacing w:after="0"/>
        <w:ind w:firstLine="426"/>
      </w:pPr>
      <w:r>
        <w:rPr>
          <w:noProof/>
          <w:lang w:eastAsia="hr-HR"/>
        </w:rPr>
        <w:drawing>
          <wp:inline distT="0" distB="0" distL="0" distR="0">
            <wp:extent cx="4171950" cy="248602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srcRect/>
                    <a:stretch>
                      <a:fillRect/>
                    </a:stretch>
                  </pic:blipFill>
                  <pic:spPr bwMode="auto">
                    <a:xfrm>
                      <a:off x="0" y="0"/>
                      <a:ext cx="4171950" cy="2486025"/>
                    </a:xfrm>
                    <a:prstGeom prst="rect">
                      <a:avLst/>
                    </a:prstGeom>
                    <a:noFill/>
                    <a:ln w="9525">
                      <a:noFill/>
                      <a:miter lim="800000"/>
                      <a:headEnd/>
                      <a:tailEnd/>
                    </a:ln>
                  </pic:spPr>
                </pic:pic>
              </a:graphicData>
            </a:graphic>
          </wp:inline>
        </w:drawing>
      </w:r>
    </w:p>
    <w:p w:rsidR="001646BE" w:rsidRPr="006E5A44" w:rsidRDefault="001646BE" w:rsidP="00893C47">
      <w:pPr>
        <w:spacing w:after="0"/>
        <w:ind w:firstLine="426"/>
        <w:rPr>
          <w:b/>
          <w:bCs/>
          <w:sz w:val="20"/>
          <w:szCs w:val="20"/>
        </w:rPr>
      </w:pPr>
      <w:r>
        <w:rPr>
          <w:b/>
          <w:bCs/>
          <w:sz w:val="20"/>
          <w:szCs w:val="20"/>
        </w:rPr>
        <w:t xml:space="preserve">Slika 14: </w:t>
      </w:r>
      <w:r w:rsidRPr="006E5A44">
        <w:rPr>
          <w:b/>
          <w:bCs/>
          <w:sz w:val="20"/>
          <w:szCs w:val="20"/>
        </w:rPr>
        <w:t>planirani tijek razvoja FAB-ova.</w:t>
      </w:r>
    </w:p>
    <w:p w:rsidR="001646BE" w:rsidRDefault="001646BE" w:rsidP="00893C47">
      <w:pPr>
        <w:spacing w:after="0"/>
        <w:ind w:left="405"/>
        <w:rPr>
          <w:sz w:val="20"/>
          <w:szCs w:val="20"/>
        </w:rPr>
      </w:pPr>
      <w:r>
        <w:rPr>
          <w:sz w:val="20"/>
          <w:szCs w:val="20"/>
        </w:rPr>
        <w:t>Izvor: Performance Review Commision: “Evaluation of FAB initiatives and their contribution to  performance improvement“, Eurocontrol 2008.</w:t>
      </w:r>
    </w:p>
    <w:p w:rsidR="001646BE" w:rsidRPr="00C27FEF" w:rsidRDefault="001646BE" w:rsidP="00893C47">
      <w:pPr>
        <w:spacing w:after="0" w:line="240" w:lineRule="auto"/>
        <w:ind w:left="360"/>
        <w:rPr>
          <w:sz w:val="20"/>
          <w:szCs w:val="20"/>
        </w:rPr>
      </w:pPr>
    </w:p>
    <w:p w:rsidR="001646BE" w:rsidRDefault="001646BE" w:rsidP="00893C47">
      <w:pPr>
        <w:ind w:firstLine="360"/>
      </w:pPr>
      <w:r>
        <w:t>Analizom slike 14 vidi se da su različiti FAB-ovi na različitim razinama razvoja te da je proces ustroja FAB-a višegodišnji proces koji prosječno traje desetak godina. Inicijativa NUAC nalazi se u fazi implementacije te se očekuje skori početak operacija. Ostali FAB-ovi uglavnom su u fazama donošenja odluka o ustroju ili u fazi provedbe studije isplativosti. Prema brzini ustroja, očekuje se da će svi FAB-ovi biti operativni do 2018. god. što je kasnije nego što je određeno SES II paketom koji postavlja rokove za implementaciju do 2012. god.</w:t>
      </w:r>
    </w:p>
    <w:p w:rsidR="001646BE" w:rsidRDefault="001646BE" w:rsidP="00893C47">
      <w:pPr>
        <w:ind w:firstLine="360"/>
      </w:pPr>
      <w:r>
        <w:lastRenderedPageBreak/>
        <w:t>Analizom očekivanih promjena koje donosi uspostava pojedinih FAB-ova, lako se može utvrditi do koje mjere pojedini FAB zahvaća određene karakteristike. Karakteristike koje zahvaća pojedini FAB kvantificirane su od 0 do 1, gdje 0 znači da FAB ne pokriva navedenu karakteristiku, 0</w:t>
      </w:r>
      <w:r w:rsidR="00EA745D">
        <w:t>,</w:t>
      </w:r>
      <w:r>
        <w:t xml:space="preserve">5 znači da je FAB djelomično zahvaća dok 1 znači potpuni obuhvat karakteristike, tj. uspostavom FAB-a dolazi do značajne promjene u domeni navedene karakteristike. Navedena analiza te komparacija FAB-ova prikazana je u tablici 11. </w:t>
      </w:r>
    </w:p>
    <w:p w:rsidR="001646BE" w:rsidRPr="00B81AF3" w:rsidRDefault="001646BE" w:rsidP="00893C47">
      <w:pPr>
        <w:spacing w:after="0" w:line="240" w:lineRule="auto"/>
        <w:rPr>
          <w:b/>
          <w:bCs/>
          <w:sz w:val="20"/>
          <w:szCs w:val="20"/>
        </w:rPr>
      </w:pPr>
      <w:r>
        <w:rPr>
          <w:b/>
          <w:bCs/>
          <w:sz w:val="20"/>
          <w:szCs w:val="20"/>
        </w:rPr>
        <w:t xml:space="preserve">Tablica 11: </w:t>
      </w:r>
      <w:r w:rsidRPr="00B81AF3">
        <w:rPr>
          <w:b/>
          <w:bCs/>
          <w:sz w:val="20"/>
          <w:szCs w:val="20"/>
        </w:rPr>
        <w:t>raspon očekivanih promjena ustrojem FAB-ova.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27"/>
        <w:gridCol w:w="697"/>
        <w:gridCol w:w="829"/>
        <w:gridCol w:w="828"/>
        <w:gridCol w:w="828"/>
        <w:gridCol w:w="828"/>
        <w:gridCol w:w="828"/>
        <w:gridCol w:w="828"/>
        <w:gridCol w:w="828"/>
        <w:gridCol w:w="765"/>
      </w:tblGrid>
      <w:tr w:rsidR="001646BE" w:rsidRPr="003A4F00" w:rsidTr="005B5DD2">
        <w:trPr>
          <w:trHeight w:val="337"/>
        </w:trPr>
        <w:tc>
          <w:tcPr>
            <w:tcW w:w="1091" w:type="pct"/>
            <w:vMerge w:val="restart"/>
            <w:vAlign w:val="center"/>
          </w:tcPr>
          <w:p w:rsidR="001646BE" w:rsidRPr="003A4F00" w:rsidRDefault="001646BE" w:rsidP="005B5DD2">
            <w:pPr>
              <w:spacing w:after="0" w:line="240" w:lineRule="auto"/>
              <w:ind w:left="-6" w:firstLine="6"/>
              <w:jc w:val="center"/>
              <w:rPr>
                <w:sz w:val="20"/>
                <w:szCs w:val="20"/>
              </w:rPr>
            </w:pPr>
            <w:r w:rsidRPr="003A4F00">
              <w:rPr>
                <w:sz w:val="20"/>
                <w:szCs w:val="20"/>
              </w:rPr>
              <w:t>OČEKIVANE PROMJENE USTROJEM FAB-A.</w:t>
            </w:r>
          </w:p>
        </w:tc>
        <w:tc>
          <w:tcPr>
            <w:tcW w:w="3909" w:type="pct"/>
            <w:gridSpan w:val="9"/>
            <w:vAlign w:val="center"/>
          </w:tcPr>
          <w:p w:rsidR="001646BE" w:rsidRPr="003A4F00" w:rsidRDefault="001646BE" w:rsidP="005B5DD2">
            <w:pPr>
              <w:spacing w:before="240"/>
              <w:ind w:left="-8" w:firstLine="426"/>
              <w:jc w:val="center"/>
              <w:rPr>
                <w:sz w:val="20"/>
                <w:szCs w:val="20"/>
              </w:rPr>
            </w:pPr>
            <w:r w:rsidRPr="003A4F00">
              <w:rPr>
                <w:sz w:val="20"/>
                <w:szCs w:val="20"/>
              </w:rPr>
              <w:t>RAZINA PROMJENA KVANTIFICIRANA OD 0 - 1</w:t>
            </w:r>
          </w:p>
        </w:tc>
      </w:tr>
      <w:tr w:rsidR="001646BE" w:rsidRPr="003A4F00" w:rsidTr="005B5DD2">
        <w:trPr>
          <w:trHeight w:val="583"/>
        </w:trPr>
        <w:tc>
          <w:tcPr>
            <w:tcW w:w="1091" w:type="pct"/>
            <w:vMerge/>
            <w:vAlign w:val="center"/>
          </w:tcPr>
          <w:p w:rsidR="001646BE" w:rsidRPr="003A4F00" w:rsidRDefault="001646BE" w:rsidP="005B5DD2">
            <w:pPr>
              <w:ind w:left="-8" w:firstLine="426"/>
              <w:jc w:val="center"/>
              <w:rPr>
                <w:sz w:val="20"/>
                <w:szCs w:val="20"/>
              </w:rPr>
            </w:pPr>
          </w:p>
        </w:tc>
        <w:tc>
          <w:tcPr>
            <w:tcW w:w="375" w:type="pct"/>
            <w:vAlign w:val="center"/>
          </w:tcPr>
          <w:p w:rsidR="001646BE" w:rsidRPr="003A4F00" w:rsidRDefault="001646BE" w:rsidP="005B5DD2">
            <w:pPr>
              <w:ind w:left="-6" w:firstLine="28"/>
              <w:jc w:val="center"/>
              <w:rPr>
                <w:sz w:val="16"/>
                <w:szCs w:val="16"/>
              </w:rPr>
            </w:pPr>
            <w:r w:rsidRPr="003A4F00">
              <w:rPr>
                <w:sz w:val="16"/>
                <w:szCs w:val="16"/>
              </w:rPr>
              <w:t>Baltic</w:t>
            </w:r>
          </w:p>
        </w:tc>
        <w:tc>
          <w:tcPr>
            <w:tcW w:w="446" w:type="pct"/>
            <w:vAlign w:val="center"/>
          </w:tcPr>
          <w:p w:rsidR="001646BE" w:rsidRPr="003A4F00" w:rsidRDefault="001646BE" w:rsidP="005B5DD2">
            <w:pPr>
              <w:spacing w:line="240" w:lineRule="auto"/>
              <w:ind w:left="-6" w:firstLine="28"/>
              <w:jc w:val="center"/>
              <w:rPr>
                <w:sz w:val="16"/>
                <w:szCs w:val="16"/>
              </w:rPr>
            </w:pPr>
            <w:r w:rsidRPr="003A4F00">
              <w:rPr>
                <w:sz w:val="16"/>
                <w:szCs w:val="16"/>
              </w:rPr>
              <w:t>Blue Med</w:t>
            </w:r>
          </w:p>
        </w:tc>
        <w:tc>
          <w:tcPr>
            <w:tcW w:w="446" w:type="pct"/>
            <w:vAlign w:val="center"/>
          </w:tcPr>
          <w:p w:rsidR="001646BE" w:rsidRPr="003A4F00" w:rsidRDefault="001646BE" w:rsidP="005B5DD2">
            <w:pPr>
              <w:ind w:left="-6" w:firstLine="28"/>
              <w:jc w:val="center"/>
              <w:rPr>
                <w:sz w:val="16"/>
                <w:szCs w:val="16"/>
              </w:rPr>
            </w:pPr>
            <w:r w:rsidRPr="003A4F00">
              <w:rPr>
                <w:sz w:val="16"/>
                <w:szCs w:val="16"/>
              </w:rPr>
              <w:t>Danube</w:t>
            </w:r>
          </w:p>
        </w:tc>
        <w:tc>
          <w:tcPr>
            <w:tcW w:w="446" w:type="pct"/>
            <w:vAlign w:val="center"/>
          </w:tcPr>
          <w:p w:rsidR="001646BE" w:rsidRPr="003A4F00" w:rsidRDefault="001646BE" w:rsidP="005B5DD2">
            <w:pPr>
              <w:ind w:left="-6" w:firstLine="28"/>
              <w:jc w:val="center"/>
              <w:rPr>
                <w:sz w:val="16"/>
                <w:szCs w:val="16"/>
              </w:rPr>
            </w:pPr>
            <w:r w:rsidRPr="003A4F00">
              <w:rPr>
                <w:sz w:val="16"/>
                <w:szCs w:val="16"/>
              </w:rPr>
              <w:t>CE</w:t>
            </w:r>
          </w:p>
        </w:tc>
        <w:tc>
          <w:tcPr>
            <w:tcW w:w="446" w:type="pct"/>
            <w:vAlign w:val="center"/>
          </w:tcPr>
          <w:p w:rsidR="001646BE" w:rsidRPr="003A4F00" w:rsidRDefault="001646BE" w:rsidP="005B5DD2">
            <w:pPr>
              <w:ind w:left="-6" w:firstLine="28"/>
              <w:jc w:val="center"/>
              <w:rPr>
                <w:sz w:val="16"/>
                <w:szCs w:val="16"/>
              </w:rPr>
            </w:pPr>
            <w:r w:rsidRPr="003A4F00">
              <w:rPr>
                <w:sz w:val="16"/>
                <w:szCs w:val="16"/>
              </w:rPr>
              <w:t>EC</w:t>
            </w:r>
          </w:p>
        </w:tc>
        <w:tc>
          <w:tcPr>
            <w:tcW w:w="446" w:type="pct"/>
            <w:vAlign w:val="center"/>
          </w:tcPr>
          <w:p w:rsidR="001646BE" w:rsidRPr="003A4F00" w:rsidRDefault="001646BE" w:rsidP="005B5DD2">
            <w:pPr>
              <w:ind w:left="-6" w:firstLine="28"/>
              <w:jc w:val="center"/>
              <w:rPr>
                <w:sz w:val="16"/>
                <w:szCs w:val="16"/>
              </w:rPr>
            </w:pPr>
            <w:r w:rsidRPr="003A4F00">
              <w:rPr>
                <w:sz w:val="16"/>
                <w:szCs w:val="16"/>
              </w:rPr>
              <w:t>NEFAB</w:t>
            </w:r>
          </w:p>
        </w:tc>
        <w:tc>
          <w:tcPr>
            <w:tcW w:w="446" w:type="pct"/>
            <w:vAlign w:val="center"/>
          </w:tcPr>
          <w:p w:rsidR="001646BE" w:rsidRPr="003A4F00" w:rsidRDefault="001646BE" w:rsidP="005B5DD2">
            <w:pPr>
              <w:ind w:left="-6" w:firstLine="28"/>
              <w:jc w:val="center"/>
              <w:rPr>
                <w:sz w:val="16"/>
                <w:szCs w:val="16"/>
              </w:rPr>
            </w:pPr>
            <w:r w:rsidRPr="003A4F00">
              <w:rPr>
                <w:sz w:val="16"/>
                <w:szCs w:val="16"/>
              </w:rPr>
              <w:t>NUAC</w:t>
            </w:r>
          </w:p>
        </w:tc>
        <w:tc>
          <w:tcPr>
            <w:tcW w:w="446" w:type="pct"/>
            <w:vAlign w:val="center"/>
          </w:tcPr>
          <w:p w:rsidR="001646BE" w:rsidRPr="003A4F00" w:rsidRDefault="001646BE" w:rsidP="005B5DD2">
            <w:pPr>
              <w:spacing w:line="240" w:lineRule="auto"/>
              <w:ind w:left="-6" w:firstLine="28"/>
              <w:jc w:val="center"/>
              <w:rPr>
                <w:sz w:val="16"/>
                <w:szCs w:val="16"/>
              </w:rPr>
            </w:pPr>
            <w:r w:rsidRPr="003A4F00">
              <w:rPr>
                <w:sz w:val="16"/>
                <w:szCs w:val="16"/>
              </w:rPr>
              <w:t>SW Port.- Spain</w:t>
            </w:r>
          </w:p>
        </w:tc>
        <w:tc>
          <w:tcPr>
            <w:tcW w:w="412" w:type="pct"/>
            <w:vAlign w:val="center"/>
          </w:tcPr>
          <w:p w:rsidR="001646BE" w:rsidRPr="003A4F00" w:rsidRDefault="001646BE" w:rsidP="005B5DD2">
            <w:pPr>
              <w:spacing w:line="240" w:lineRule="auto"/>
              <w:ind w:left="-6" w:firstLine="28"/>
              <w:jc w:val="center"/>
              <w:rPr>
                <w:sz w:val="16"/>
                <w:szCs w:val="16"/>
              </w:rPr>
            </w:pPr>
            <w:r w:rsidRPr="003A4F00">
              <w:rPr>
                <w:sz w:val="16"/>
                <w:szCs w:val="16"/>
              </w:rPr>
              <w:t>UK - Ireland</w:t>
            </w:r>
          </w:p>
        </w:tc>
      </w:tr>
      <w:tr w:rsidR="001646BE" w:rsidRPr="003A4F00" w:rsidTr="005B5DD2">
        <w:trPr>
          <w:trHeight w:val="545"/>
        </w:trPr>
        <w:tc>
          <w:tcPr>
            <w:tcW w:w="1091" w:type="pct"/>
            <w:vAlign w:val="center"/>
          </w:tcPr>
          <w:p w:rsidR="001646BE" w:rsidRPr="003A4F00" w:rsidRDefault="001646BE" w:rsidP="005B5DD2">
            <w:pPr>
              <w:spacing w:after="0" w:line="240" w:lineRule="auto"/>
              <w:ind w:left="-6"/>
              <w:jc w:val="center"/>
              <w:rPr>
                <w:sz w:val="20"/>
                <w:szCs w:val="20"/>
              </w:rPr>
            </w:pPr>
            <w:r w:rsidRPr="003A4F00">
              <w:rPr>
                <w:sz w:val="20"/>
                <w:szCs w:val="20"/>
              </w:rPr>
              <w:t>Donji zračni prostor</w:t>
            </w:r>
          </w:p>
        </w:tc>
        <w:tc>
          <w:tcPr>
            <w:tcW w:w="375"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r>
      <w:tr w:rsidR="001646BE" w:rsidRPr="003A4F00" w:rsidTr="005B5DD2">
        <w:trPr>
          <w:trHeight w:val="545"/>
        </w:trPr>
        <w:tc>
          <w:tcPr>
            <w:tcW w:w="1091" w:type="pct"/>
            <w:vAlign w:val="center"/>
          </w:tcPr>
          <w:p w:rsidR="001646BE" w:rsidRPr="003A4F00" w:rsidRDefault="001646BE" w:rsidP="005B5DD2">
            <w:pPr>
              <w:spacing w:after="0" w:line="240" w:lineRule="auto"/>
              <w:ind w:left="-6"/>
              <w:jc w:val="center"/>
              <w:rPr>
                <w:sz w:val="20"/>
                <w:szCs w:val="20"/>
              </w:rPr>
            </w:pPr>
            <w:r w:rsidRPr="003A4F00">
              <w:rPr>
                <w:sz w:val="20"/>
                <w:szCs w:val="20"/>
              </w:rPr>
              <w:t>Vojno - civilna suradnja</w:t>
            </w:r>
          </w:p>
        </w:tc>
        <w:tc>
          <w:tcPr>
            <w:tcW w:w="375"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w:t>
            </w:r>
            <w:r w:rsidR="001646BE" w:rsidRPr="003A4F00">
              <w:rPr>
                <w:sz w:val="20"/>
                <w:szCs w:val="20"/>
              </w:rPr>
              <w:t>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w:t>
            </w:r>
            <w:r w:rsidR="001646BE" w:rsidRPr="003A4F00">
              <w:rPr>
                <w:sz w:val="20"/>
                <w:szCs w:val="20"/>
              </w:rPr>
              <w:t>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w:t>
            </w:r>
            <w:r w:rsidR="001646BE" w:rsidRPr="003A4F00">
              <w:rPr>
                <w:sz w:val="20"/>
                <w:szCs w:val="20"/>
              </w:rPr>
              <w:t>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12" w:type="pct"/>
            <w:vAlign w:val="center"/>
          </w:tcPr>
          <w:p w:rsidR="001646BE" w:rsidRPr="003A4F00" w:rsidRDefault="00EA745D" w:rsidP="005B5DD2">
            <w:pPr>
              <w:spacing w:after="0"/>
              <w:ind w:left="-8" w:firstLine="163"/>
              <w:jc w:val="center"/>
              <w:rPr>
                <w:sz w:val="20"/>
                <w:szCs w:val="20"/>
              </w:rPr>
            </w:pPr>
            <w:r>
              <w:rPr>
                <w:sz w:val="20"/>
                <w:szCs w:val="20"/>
              </w:rPr>
              <w:t>0,</w:t>
            </w:r>
            <w:r w:rsidR="001646BE" w:rsidRPr="003A4F00">
              <w:rPr>
                <w:sz w:val="20"/>
                <w:szCs w:val="20"/>
              </w:rPr>
              <w:t>5</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Upravljanje zr. prostorom</w:t>
            </w:r>
          </w:p>
        </w:tc>
        <w:tc>
          <w:tcPr>
            <w:tcW w:w="375"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12" w:type="pct"/>
            <w:vAlign w:val="center"/>
          </w:tcPr>
          <w:p w:rsidR="001646BE" w:rsidRPr="003A4F00" w:rsidRDefault="00EA745D" w:rsidP="005B5DD2">
            <w:pPr>
              <w:spacing w:after="0"/>
              <w:ind w:left="-8" w:firstLine="163"/>
              <w:jc w:val="center"/>
              <w:rPr>
                <w:sz w:val="20"/>
                <w:szCs w:val="20"/>
              </w:rPr>
            </w:pPr>
            <w:r>
              <w:rPr>
                <w:sz w:val="20"/>
                <w:szCs w:val="20"/>
              </w:rPr>
              <w:t>0,5</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Dizajn ruta i sektora</w:t>
            </w:r>
          </w:p>
        </w:tc>
        <w:tc>
          <w:tcPr>
            <w:tcW w:w="375"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Upravljanje sigurnošću</w:t>
            </w:r>
          </w:p>
        </w:tc>
        <w:tc>
          <w:tcPr>
            <w:tcW w:w="375"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12" w:type="pct"/>
            <w:vAlign w:val="center"/>
          </w:tcPr>
          <w:p w:rsidR="001646BE" w:rsidRPr="003A4F00" w:rsidRDefault="00EA745D" w:rsidP="005B5DD2">
            <w:pPr>
              <w:spacing w:after="0"/>
              <w:ind w:left="-8" w:firstLine="163"/>
              <w:jc w:val="center"/>
              <w:rPr>
                <w:sz w:val="20"/>
                <w:szCs w:val="20"/>
              </w:rPr>
            </w:pPr>
            <w:r>
              <w:rPr>
                <w:sz w:val="20"/>
                <w:szCs w:val="20"/>
              </w:rPr>
              <w:t>0,5</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Naplaćivanje</w:t>
            </w:r>
          </w:p>
        </w:tc>
        <w:tc>
          <w:tcPr>
            <w:tcW w:w="375"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ATM integracija</w:t>
            </w:r>
          </w:p>
        </w:tc>
        <w:tc>
          <w:tcPr>
            <w:tcW w:w="375"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Obuka</w:t>
            </w:r>
          </w:p>
        </w:tc>
        <w:tc>
          <w:tcPr>
            <w:tcW w:w="375"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Pomoćni sustavi</w:t>
            </w:r>
          </w:p>
        </w:tc>
        <w:tc>
          <w:tcPr>
            <w:tcW w:w="375"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ATM interoperabilnost</w:t>
            </w:r>
          </w:p>
        </w:tc>
        <w:tc>
          <w:tcPr>
            <w:tcW w:w="375"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ATM istovrsnost sustava</w:t>
            </w:r>
          </w:p>
        </w:tc>
        <w:tc>
          <w:tcPr>
            <w:tcW w:w="375"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r>
      <w:tr w:rsidR="001646BE" w:rsidRPr="003A4F00" w:rsidTr="005B5DD2">
        <w:trPr>
          <w:trHeight w:val="545"/>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Razvoj ATM sustava</w:t>
            </w:r>
          </w:p>
        </w:tc>
        <w:tc>
          <w:tcPr>
            <w:tcW w:w="375"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r>
      <w:tr w:rsidR="001646BE" w:rsidRPr="003A4F00" w:rsidTr="005B5DD2">
        <w:trPr>
          <w:trHeight w:val="454"/>
        </w:trPr>
        <w:tc>
          <w:tcPr>
            <w:tcW w:w="1091" w:type="pct"/>
            <w:vAlign w:val="center"/>
          </w:tcPr>
          <w:p w:rsidR="001646BE" w:rsidRPr="003A4F00" w:rsidRDefault="001646BE" w:rsidP="005B5DD2">
            <w:pPr>
              <w:spacing w:after="0" w:line="240" w:lineRule="auto"/>
              <w:jc w:val="center"/>
              <w:rPr>
                <w:sz w:val="20"/>
                <w:szCs w:val="20"/>
              </w:rPr>
            </w:pPr>
            <w:r w:rsidRPr="003A4F00">
              <w:rPr>
                <w:sz w:val="20"/>
                <w:szCs w:val="20"/>
              </w:rPr>
              <w:t>Upravljanje i nadzor</w:t>
            </w:r>
          </w:p>
        </w:tc>
        <w:tc>
          <w:tcPr>
            <w:tcW w:w="375"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0</w:t>
            </w:r>
          </w:p>
        </w:tc>
        <w:tc>
          <w:tcPr>
            <w:tcW w:w="412" w:type="pct"/>
            <w:vAlign w:val="center"/>
          </w:tcPr>
          <w:p w:rsidR="001646BE" w:rsidRPr="003A4F00" w:rsidRDefault="00EA745D" w:rsidP="005B5DD2">
            <w:pPr>
              <w:spacing w:after="0"/>
              <w:ind w:left="-8" w:firstLine="163"/>
              <w:jc w:val="center"/>
              <w:rPr>
                <w:sz w:val="20"/>
                <w:szCs w:val="20"/>
              </w:rPr>
            </w:pPr>
            <w:r>
              <w:rPr>
                <w:sz w:val="20"/>
                <w:szCs w:val="20"/>
              </w:rPr>
              <w:t>0,5</w:t>
            </w:r>
          </w:p>
        </w:tc>
      </w:tr>
      <w:tr w:rsidR="001646BE" w:rsidRPr="003A4F00" w:rsidTr="005B5DD2">
        <w:trPr>
          <w:trHeight w:val="454"/>
        </w:trPr>
        <w:tc>
          <w:tcPr>
            <w:tcW w:w="1091" w:type="pct"/>
            <w:vAlign w:val="center"/>
          </w:tcPr>
          <w:p w:rsidR="001646BE" w:rsidRPr="003A4F00" w:rsidRDefault="001646BE" w:rsidP="005B5DD2">
            <w:pPr>
              <w:spacing w:after="0" w:line="240" w:lineRule="auto"/>
              <w:jc w:val="center"/>
              <w:rPr>
                <w:sz w:val="20"/>
                <w:szCs w:val="20"/>
              </w:rPr>
            </w:pPr>
            <w:r w:rsidRPr="003A4F00">
              <w:rPr>
                <w:sz w:val="16"/>
                <w:szCs w:val="16"/>
              </w:rPr>
              <w:t>∑</w:t>
            </w:r>
            <w:r w:rsidRPr="003A4F00">
              <w:rPr>
                <w:sz w:val="20"/>
                <w:szCs w:val="20"/>
              </w:rPr>
              <w:t xml:space="preserve"> bodova</w:t>
            </w:r>
          </w:p>
        </w:tc>
        <w:tc>
          <w:tcPr>
            <w:tcW w:w="375" w:type="pct"/>
            <w:vAlign w:val="center"/>
          </w:tcPr>
          <w:p w:rsidR="001646BE" w:rsidRPr="003A4F00" w:rsidRDefault="001646BE" w:rsidP="005B5DD2">
            <w:pPr>
              <w:spacing w:after="0"/>
              <w:ind w:left="-8" w:firstLine="163"/>
              <w:jc w:val="center"/>
              <w:rPr>
                <w:sz w:val="20"/>
                <w:szCs w:val="20"/>
              </w:rPr>
            </w:pPr>
            <w:r w:rsidRPr="003A4F00">
              <w:rPr>
                <w:sz w:val="20"/>
                <w:szCs w:val="20"/>
              </w:rPr>
              <w:t>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10</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6</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8</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w:t>
            </w:r>
            <w:r w:rsidR="00EA745D">
              <w:rPr>
                <w:sz w:val="20"/>
                <w:szCs w:val="20"/>
              </w:rPr>
              <w:t>0,5</w:t>
            </w:r>
          </w:p>
        </w:tc>
        <w:tc>
          <w:tcPr>
            <w:tcW w:w="446" w:type="pct"/>
            <w:vAlign w:val="center"/>
          </w:tcPr>
          <w:p w:rsidR="001646BE" w:rsidRPr="003A4F00" w:rsidRDefault="00EA745D" w:rsidP="005B5DD2">
            <w:pPr>
              <w:spacing w:after="0"/>
              <w:ind w:left="-8" w:firstLine="163"/>
              <w:jc w:val="center"/>
              <w:rPr>
                <w:sz w:val="20"/>
                <w:szCs w:val="20"/>
              </w:rPr>
            </w:pPr>
            <w:r>
              <w:rPr>
                <w:sz w:val="20"/>
                <w:szCs w:val="20"/>
              </w:rPr>
              <w:t>4,</w:t>
            </w:r>
            <w:r w:rsidR="001646BE" w:rsidRPr="003A4F00">
              <w:rPr>
                <w:sz w:val="20"/>
                <w:szCs w:val="20"/>
              </w:rPr>
              <w:t>5</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11</w:t>
            </w:r>
          </w:p>
        </w:tc>
        <w:tc>
          <w:tcPr>
            <w:tcW w:w="446" w:type="pct"/>
            <w:vAlign w:val="center"/>
          </w:tcPr>
          <w:p w:rsidR="001646BE" w:rsidRPr="003A4F00" w:rsidRDefault="001646BE" w:rsidP="005B5DD2">
            <w:pPr>
              <w:spacing w:after="0"/>
              <w:ind w:left="-8" w:firstLine="163"/>
              <w:jc w:val="center"/>
              <w:rPr>
                <w:sz w:val="20"/>
                <w:szCs w:val="20"/>
              </w:rPr>
            </w:pPr>
            <w:r w:rsidRPr="003A4F00">
              <w:rPr>
                <w:sz w:val="20"/>
                <w:szCs w:val="20"/>
              </w:rPr>
              <w:t>2</w:t>
            </w:r>
          </w:p>
        </w:tc>
        <w:tc>
          <w:tcPr>
            <w:tcW w:w="412" w:type="pct"/>
            <w:vAlign w:val="center"/>
          </w:tcPr>
          <w:p w:rsidR="001646BE" w:rsidRPr="003A4F00" w:rsidRDefault="001646BE" w:rsidP="005B5DD2">
            <w:pPr>
              <w:spacing w:after="0"/>
              <w:ind w:left="-8" w:firstLine="163"/>
              <w:jc w:val="center"/>
              <w:rPr>
                <w:sz w:val="20"/>
                <w:szCs w:val="20"/>
              </w:rPr>
            </w:pPr>
            <w:r w:rsidRPr="003A4F00">
              <w:rPr>
                <w:sz w:val="20"/>
                <w:szCs w:val="20"/>
              </w:rPr>
              <w:t>4</w:t>
            </w:r>
          </w:p>
        </w:tc>
      </w:tr>
    </w:tbl>
    <w:p w:rsidR="001646BE" w:rsidRDefault="001646BE" w:rsidP="005B5DD2">
      <w:pPr>
        <w:spacing w:after="0" w:line="240" w:lineRule="auto"/>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line="240" w:lineRule="auto"/>
        <w:rPr>
          <w:sz w:val="20"/>
          <w:szCs w:val="20"/>
        </w:rPr>
      </w:pPr>
    </w:p>
    <w:p w:rsidR="005B5DD2" w:rsidRDefault="005B5DD2" w:rsidP="00893C47">
      <w:pPr>
        <w:spacing w:line="240" w:lineRule="auto"/>
        <w:rPr>
          <w:sz w:val="20"/>
          <w:szCs w:val="20"/>
        </w:rPr>
      </w:pPr>
    </w:p>
    <w:p w:rsidR="001646BE" w:rsidRDefault="001646BE" w:rsidP="00893C47">
      <w:pPr>
        <w:ind w:firstLine="360"/>
      </w:pPr>
      <w:r>
        <w:lastRenderedPageBreak/>
        <w:t>Analizom tablice 11, može se zaključiti koliki raspon promjena se očekuje ustrojem pojedinih FAB-ova. Također, sumiranjem kvantificiranih karakteristika očituje se stupanj razvijenosti pojedine FAB inicijative tj. koliko je inicijativa napredna. Prema tablici 11, najnaprednije (s najvećom sumom bodova) FAB inicijative su NUAC (11 bodova), EC (1</w:t>
      </w:r>
      <w:r w:rsidR="00EA745D">
        <w:t>0,5</w:t>
      </w:r>
      <w:r>
        <w:t xml:space="preserve"> bodova) i Blue Med (10 bodova), dok je na začelju SW Portugal - Spain.</w:t>
      </w:r>
    </w:p>
    <w:p w:rsidR="001646BE" w:rsidRDefault="001646BE" w:rsidP="00893C47">
      <w:pPr>
        <w:ind w:firstLine="360"/>
      </w:pPr>
      <w:r>
        <w:t xml:space="preserve">Analizom dogovora i sporazuma, te metoda koje su primijenjene u cilju ustroja FAB-ova, te kvantifikacijom navedenih metoda, može se lako zaključiti zašto su neke FAB inicijative naprednije i u zrelijim fazama razvoja od drugih. Metode i sporazumi kvantificirani su kao i u tablici 11, dakle u rasponu od 0 do 1, gdje 0 znači da navedena metoda ili dogovor nije primijenjen u uspostavi određenog FAB-a, </w:t>
      </w:r>
      <w:r w:rsidR="00EA745D">
        <w:t>0,5</w:t>
      </w:r>
      <w:r>
        <w:t xml:space="preserve"> znači parcijalnu primjenu, dok 1 znači da se navedena metoda ili dogovor u potpunosti primjenjuje u procesu uspostave FAB-a.</w:t>
      </w:r>
    </w:p>
    <w:p w:rsidR="001646BE" w:rsidRPr="00FC5E59" w:rsidRDefault="001646BE" w:rsidP="00893C47">
      <w:pPr>
        <w:spacing w:after="0" w:line="240" w:lineRule="auto"/>
        <w:rPr>
          <w:b/>
          <w:bCs/>
          <w:sz w:val="20"/>
          <w:szCs w:val="20"/>
        </w:rPr>
      </w:pPr>
      <w:r>
        <w:rPr>
          <w:b/>
          <w:bCs/>
          <w:sz w:val="20"/>
          <w:szCs w:val="20"/>
        </w:rPr>
        <w:t xml:space="preserve">Tablica 12: </w:t>
      </w:r>
      <w:r w:rsidRPr="00FC5E59">
        <w:rPr>
          <w:b/>
          <w:bCs/>
          <w:sz w:val="20"/>
          <w:szCs w:val="20"/>
        </w:rPr>
        <w:t>raspon korištenih metoda i sporazuma pri ustroju FAB-ova.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93"/>
        <w:gridCol w:w="829"/>
        <w:gridCol w:w="829"/>
        <w:gridCol w:w="828"/>
        <w:gridCol w:w="828"/>
        <w:gridCol w:w="828"/>
        <w:gridCol w:w="828"/>
        <w:gridCol w:w="828"/>
        <w:gridCol w:w="828"/>
        <w:gridCol w:w="767"/>
      </w:tblGrid>
      <w:tr w:rsidR="001646BE" w:rsidRPr="003A4F00" w:rsidTr="005B5DD2">
        <w:trPr>
          <w:trHeight w:val="455"/>
        </w:trPr>
        <w:tc>
          <w:tcPr>
            <w:tcW w:w="1019" w:type="pct"/>
            <w:vMerge w:val="restart"/>
          </w:tcPr>
          <w:p w:rsidR="001646BE" w:rsidRPr="003A4F00" w:rsidRDefault="001646BE" w:rsidP="005B5DD2">
            <w:pPr>
              <w:spacing w:before="240" w:after="0" w:line="240" w:lineRule="auto"/>
              <w:ind w:left="-6" w:firstLine="6"/>
              <w:jc w:val="left"/>
              <w:rPr>
                <w:sz w:val="20"/>
                <w:szCs w:val="20"/>
              </w:rPr>
            </w:pPr>
            <w:r w:rsidRPr="003A4F00">
              <w:rPr>
                <w:sz w:val="20"/>
                <w:szCs w:val="20"/>
              </w:rPr>
              <w:t>METODE I SPORAZUMI KORIŠTENI PRI USTROJU FAB-A</w:t>
            </w:r>
          </w:p>
        </w:tc>
        <w:tc>
          <w:tcPr>
            <w:tcW w:w="3981" w:type="pct"/>
            <w:gridSpan w:val="9"/>
            <w:vAlign w:val="center"/>
          </w:tcPr>
          <w:p w:rsidR="001646BE" w:rsidRPr="003A4F00" w:rsidRDefault="001646BE" w:rsidP="005B5DD2">
            <w:pPr>
              <w:spacing w:before="240"/>
              <w:ind w:left="-8" w:firstLine="426"/>
              <w:jc w:val="center"/>
              <w:rPr>
                <w:sz w:val="20"/>
                <w:szCs w:val="20"/>
              </w:rPr>
            </w:pPr>
            <w:r w:rsidRPr="003A4F00">
              <w:rPr>
                <w:sz w:val="20"/>
                <w:szCs w:val="20"/>
              </w:rPr>
              <w:t>RAZINA PROMJENA KVANTIFICIRANA OD 0 - 1</w:t>
            </w:r>
          </w:p>
        </w:tc>
      </w:tr>
      <w:tr w:rsidR="001646BE" w:rsidRPr="003A4F00" w:rsidTr="005B5DD2">
        <w:trPr>
          <w:trHeight w:val="455"/>
        </w:trPr>
        <w:tc>
          <w:tcPr>
            <w:tcW w:w="1019" w:type="pct"/>
            <w:vMerge/>
          </w:tcPr>
          <w:p w:rsidR="001646BE" w:rsidRPr="003A4F00" w:rsidRDefault="001646BE" w:rsidP="00E1205B">
            <w:pPr>
              <w:ind w:left="-8" w:firstLine="426"/>
              <w:jc w:val="center"/>
              <w:rPr>
                <w:sz w:val="20"/>
                <w:szCs w:val="20"/>
              </w:rPr>
            </w:pPr>
          </w:p>
        </w:tc>
        <w:tc>
          <w:tcPr>
            <w:tcW w:w="446" w:type="pct"/>
            <w:vAlign w:val="center"/>
          </w:tcPr>
          <w:p w:rsidR="001646BE" w:rsidRPr="003A4F00" w:rsidRDefault="001646BE" w:rsidP="00E1205B">
            <w:pPr>
              <w:ind w:left="-6" w:firstLine="28"/>
              <w:jc w:val="center"/>
              <w:rPr>
                <w:sz w:val="16"/>
                <w:szCs w:val="16"/>
              </w:rPr>
            </w:pPr>
            <w:r w:rsidRPr="003A4F00">
              <w:rPr>
                <w:sz w:val="16"/>
                <w:szCs w:val="16"/>
              </w:rPr>
              <w:t>Baltic</w:t>
            </w:r>
          </w:p>
        </w:tc>
        <w:tc>
          <w:tcPr>
            <w:tcW w:w="446" w:type="pct"/>
            <w:vAlign w:val="center"/>
          </w:tcPr>
          <w:p w:rsidR="001646BE" w:rsidRPr="003A4F00" w:rsidRDefault="001646BE" w:rsidP="00E1205B">
            <w:pPr>
              <w:spacing w:line="240" w:lineRule="auto"/>
              <w:ind w:left="-6" w:firstLine="28"/>
              <w:jc w:val="center"/>
              <w:rPr>
                <w:sz w:val="16"/>
                <w:szCs w:val="16"/>
              </w:rPr>
            </w:pPr>
            <w:r w:rsidRPr="003A4F00">
              <w:rPr>
                <w:sz w:val="16"/>
                <w:szCs w:val="16"/>
              </w:rPr>
              <w:t>Blue Med</w:t>
            </w:r>
          </w:p>
        </w:tc>
        <w:tc>
          <w:tcPr>
            <w:tcW w:w="446" w:type="pct"/>
            <w:vAlign w:val="center"/>
          </w:tcPr>
          <w:p w:rsidR="001646BE" w:rsidRPr="003A4F00" w:rsidRDefault="001646BE" w:rsidP="00E1205B">
            <w:pPr>
              <w:ind w:left="-6" w:firstLine="28"/>
              <w:jc w:val="center"/>
              <w:rPr>
                <w:sz w:val="16"/>
                <w:szCs w:val="16"/>
              </w:rPr>
            </w:pPr>
            <w:r w:rsidRPr="003A4F00">
              <w:rPr>
                <w:sz w:val="16"/>
                <w:szCs w:val="16"/>
              </w:rPr>
              <w:t>Danube</w:t>
            </w:r>
          </w:p>
        </w:tc>
        <w:tc>
          <w:tcPr>
            <w:tcW w:w="446" w:type="pct"/>
            <w:vAlign w:val="center"/>
          </w:tcPr>
          <w:p w:rsidR="001646BE" w:rsidRPr="003A4F00" w:rsidRDefault="001646BE" w:rsidP="00E1205B">
            <w:pPr>
              <w:ind w:left="-6" w:firstLine="28"/>
              <w:jc w:val="center"/>
              <w:rPr>
                <w:sz w:val="16"/>
                <w:szCs w:val="16"/>
              </w:rPr>
            </w:pPr>
            <w:r w:rsidRPr="003A4F00">
              <w:rPr>
                <w:sz w:val="16"/>
                <w:szCs w:val="16"/>
              </w:rPr>
              <w:t>CE</w:t>
            </w:r>
          </w:p>
        </w:tc>
        <w:tc>
          <w:tcPr>
            <w:tcW w:w="446" w:type="pct"/>
            <w:vAlign w:val="center"/>
          </w:tcPr>
          <w:p w:rsidR="001646BE" w:rsidRPr="003A4F00" w:rsidRDefault="001646BE" w:rsidP="00E1205B">
            <w:pPr>
              <w:ind w:left="-6" w:firstLine="28"/>
              <w:jc w:val="center"/>
              <w:rPr>
                <w:sz w:val="16"/>
                <w:szCs w:val="16"/>
              </w:rPr>
            </w:pPr>
            <w:r w:rsidRPr="003A4F00">
              <w:rPr>
                <w:sz w:val="16"/>
                <w:szCs w:val="16"/>
              </w:rPr>
              <w:t>EC</w:t>
            </w:r>
          </w:p>
        </w:tc>
        <w:tc>
          <w:tcPr>
            <w:tcW w:w="446" w:type="pct"/>
            <w:vAlign w:val="center"/>
          </w:tcPr>
          <w:p w:rsidR="001646BE" w:rsidRPr="003A4F00" w:rsidRDefault="001646BE" w:rsidP="00E1205B">
            <w:pPr>
              <w:ind w:left="-6" w:firstLine="28"/>
              <w:jc w:val="center"/>
              <w:rPr>
                <w:sz w:val="16"/>
                <w:szCs w:val="16"/>
              </w:rPr>
            </w:pPr>
            <w:r w:rsidRPr="003A4F00">
              <w:rPr>
                <w:sz w:val="16"/>
                <w:szCs w:val="16"/>
              </w:rPr>
              <w:t>NEFAB</w:t>
            </w:r>
          </w:p>
        </w:tc>
        <w:tc>
          <w:tcPr>
            <w:tcW w:w="446" w:type="pct"/>
            <w:vAlign w:val="center"/>
          </w:tcPr>
          <w:p w:rsidR="001646BE" w:rsidRPr="003A4F00" w:rsidRDefault="001646BE" w:rsidP="00E1205B">
            <w:pPr>
              <w:ind w:left="-6" w:firstLine="28"/>
              <w:jc w:val="center"/>
              <w:rPr>
                <w:sz w:val="16"/>
                <w:szCs w:val="16"/>
              </w:rPr>
            </w:pPr>
            <w:r w:rsidRPr="003A4F00">
              <w:rPr>
                <w:sz w:val="16"/>
                <w:szCs w:val="16"/>
              </w:rPr>
              <w:t>NUAC</w:t>
            </w:r>
          </w:p>
        </w:tc>
        <w:tc>
          <w:tcPr>
            <w:tcW w:w="446" w:type="pct"/>
          </w:tcPr>
          <w:p w:rsidR="001646BE" w:rsidRPr="003A4F00" w:rsidRDefault="001646BE" w:rsidP="00E1205B">
            <w:pPr>
              <w:spacing w:line="240" w:lineRule="auto"/>
              <w:ind w:left="-6" w:firstLine="28"/>
              <w:jc w:val="center"/>
              <w:rPr>
                <w:sz w:val="16"/>
                <w:szCs w:val="16"/>
              </w:rPr>
            </w:pPr>
            <w:r w:rsidRPr="003A4F00">
              <w:rPr>
                <w:sz w:val="16"/>
                <w:szCs w:val="16"/>
              </w:rPr>
              <w:t>SW Port.- Spain</w:t>
            </w:r>
          </w:p>
        </w:tc>
        <w:tc>
          <w:tcPr>
            <w:tcW w:w="410" w:type="pct"/>
            <w:vAlign w:val="center"/>
          </w:tcPr>
          <w:p w:rsidR="001646BE" w:rsidRPr="003A4F00" w:rsidRDefault="001646BE" w:rsidP="00E1205B">
            <w:pPr>
              <w:spacing w:line="240" w:lineRule="auto"/>
              <w:ind w:left="-6" w:firstLine="28"/>
              <w:jc w:val="center"/>
              <w:rPr>
                <w:sz w:val="16"/>
                <w:szCs w:val="16"/>
              </w:rPr>
            </w:pPr>
            <w:r w:rsidRPr="003A4F00">
              <w:rPr>
                <w:sz w:val="16"/>
                <w:szCs w:val="16"/>
              </w:rPr>
              <w:t>UK - Ireland</w:t>
            </w:r>
          </w:p>
        </w:tc>
      </w:tr>
      <w:tr w:rsidR="001646BE" w:rsidRPr="003A4F00" w:rsidTr="005B5DD2">
        <w:trPr>
          <w:trHeight w:val="546"/>
        </w:trPr>
        <w:tc>
          <w:tcPr>
            <w:tcW w:w="1019" w:type="pct"/>
            <w:vAlign w:val="center"/>
          </w:tcPr>
          <w:p w:rsidR="001646BE" w:rsidRPr="003A4F00" w:rsidRDefault="001646BE" w:rsidP="005B5DD2">
            <w:pPr>
              <w:spacing w:before="240" w:after="0" w:line="240" w:lineRule="auto"/>
              <w:ind w:left="-6"/>
              <w:jc w:val="center"/>
              <w:rPr>
                <w:sz w:val="20"/>
                <w:szCs w:val="20"/>
              </w:rPr>
            </w:pPr>
            <w:r w:rsidRPr="003A4F00">
              <w:rPr>
                <w:sz w:val="20"/>
                <w:szCs w:val="20"/>
              </w:rPr>
              <w:t>Suradnja s ostalim FAB-ovima</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10"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r>
      <w:tr w:rsidR="001646BE" w:rsidRPr="003A4F00" w:rsidTr="005B5DD2">
        <w:trPr>
          <w:trHeight w:val="546"/>
        </w:trPr>
        <w:tc>
          <w:tcPr>
            <w:tcW w:w="1019" w:type="pct"/>
            <w:vAlign w:val="center"/>
          </w:tcPr>
          <w:p w:rsidR="001646BE" w:rsidRPr="003A4F00" w:rsidRDefault="001646BE" w:rsidP="005B5DD2">
            <w:pPr>
              <w:spacing w:before="240" w:after="0" w:line="240" w:lineRule="auto"/>
              <w:ind w:left="-6"/>
              <w:jc w:val="center"/>
              <w:rPr>
                <w:sz w:val="20"/>
                <w:szCs w:val="20"/>
              </w:rPr>
            </w:pPr>
            <w:r w:rsidRPr="003A4F00">
              <w:rPr>
                <w:sz w:val="20"/>
                <w:szCs w:val="20"/>
              </w:rPr>
              <w:t>Proces donošenja odluka o ustroju</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10"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r>
      <w:tr w:rsidR="001646BE" w:rsidRPr="003A4F00" w:rsidTr="005B5DD2">
        <w:trPr>
          <w:trHeight w:val="546"/>
        </w:trPr>
        <w:tc>
          <w:tcPr>
            <w:tcW w:w="1019" w:type="pct"/>
            <w:vAlign w:val="center"/>
          </w:tcPr>
          <w:p w:rsidR="001646BE" w:rsidRPr="003A4F00" w:rsidRDefault="001646BE" w:rsidP="005B5DD2">
            <w:pPr>
              <w:spacing w:before="240" w:after="0" w:line="240" w:lineRule="auto"/>
              <w:jc w:val="center"/>
              <w:rPr>
                <w:sz w:val="20"/>
                <w:szCs w:val="20"/>
              </w:rPr>
            </w:pPr>
            <w:r w:rsidRPr="003A4F00">
              <w:rPr>
                <w:sz w:val="20"/>
                <w:szCs w:val="20"/>
              </w:rPr>
              <w:t>Raspon opcija ustroja FAB-a</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10"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r>
      <w:tr w:rsidR="001646BE" w:rsidRPr="003A4F00" w:rsidTr="005B5DD2">
        <w:trPr>
          <w:trHeight w:val="546"/>
        </w:trPr>
        <w:tc>
          <w:tcPr>
            <w:tcW w:w="1019" w:type="pct"/>
            <w:vAlign w:val="center"/>
          </w:tcPr>
          <w:p w:rsidR="001646BE" w:rsidRPr="003A4F00" w:rsidRDefault="001646BE" w:rsidP="005B5DD2">
            <w:pPr>
              <w:spacing w:before="240" w:after="0" w:line="240" w:lineRule="auto"/>
              <w:jc w:val="center"/>
              <w:rPr>
                <w:sz w:val="20"/>
                <w:szCs w:val="20"/>
              </w:rPr>
            </w:pPr>
            <w:r w:rsidRPr="003A4F00">
              <w:rPr>
                <w:sz w:val="20"/>
                <w:szCs w:val="20"/>
              </w:rPr>
              <w:t>Suradnja s vojskom</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10"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r>
      <w:tr w:rsidR="001646BE" w:rsidRPr="003A4F00" w:rsidTr="005B5DD2">
        <w:trPr>
          <w:trHeight w:val="546"/>
        </w:trPr>
        <w:tc>
          <w:tcPr>
            <w:tcW w:w="1019" w:type="pct"/>
            <w:vAlign w:val="center"/>
          </w:tcPr>
          <w:p w:rsidR="001646BE" w:rsidRPr="003A4F00" w:rsidRDefault="001646BE" w:rsidP="005B5DD2">
            <w:pPr>
              <w:spacing w:before="240" w:after="0" w:line="240" w:lineRule="auto"/>
              <w:jc w:val="center"/>
              <w:rPr>
                <w:sz w:val="20"/>
                <w:szCs w:val="20"/>
              </w:rPr>
            </w:pPr>
            <w:r w:rsidRPr="003A4F00">
              <w:rPr>
                <w:sz w:val="20"/>
                <w:szCs w:val="20"/>
              </w:rPr>
              <w:t>Socijalni dijalog</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10" w:type="pct"/>
            <w:vAlign w:val="center"/>
          </w:tcPr>
          <w:p w:rsidR="001646BE" w:rsidRPr="003A4F00" w:rsidRDefault="00EA745D" w:rsidP="005B5DD2">
            <w:pPr>
              <w:spacing w:before="240" w:after="0"/>
              <w:ind w:left="-8" w:firstLine="163"/>
              <w:jc w:val="center"/>
              <w:rPr>
                <w:sz w:val="20"/>
                <w:szCs w:val="20"/>
              </w:rPr>
            </w:pPr>
            <w:r>
              <w:rPr>
                <w:sz w:val="20"/>
                <w:szCs w:val="20"/>
              </w:rPr>
              <w:t>0,5</w:t>
            </w:r>
          </w:p>
        </w:tc>
      </w:tr>
      <w:tr w:rsidR="001646BE" w:rsidRPr="003A4F00" w:rsidTr="005B5DD2">
        <w:trPr>
          <w:trHeight w:val="546"/>
        </w:trPr>
        <w:tc>
          <w:tcPr>
            <w:tcW w:w="1019" w:type="pct"/>
            <w:vAlign w:val="center"/>
          </w:tcPr>
          <w:p w:rsidR="001646BE" w:rsidRPr="003A4F00" w:rsidRDefault="001646BE" w:rsidP="005B5DD2">
            <w:pPr>
              <w:spacing w:before="240" w:after="0" w:line="240" w:lineRule="auto"/>
              <w:jc w:val="center"/>
              <w:rPr>
                <w:sz w:val="20"/>
                <w:szCs w:val="20"/>
              </w:rPr>
            </w:pPr>
            <w:r w:rsidRPr="003A4F00">
              <w:rPr>
                <w:sz w:val="20"/>
                <w:szCs w:val="20"/>
              </w:rPr>
              <w:t>Involviranost države u ustroj</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vAlign w:val="center"/>
          </w:tcPr>
          <w:p w:rsidR="001646BE" w:rsidRPr="003A4F00" w:rsidRDefault="00EA745D" w:rsidP="005B5DD2">
            <w:pPr>
              <w:spacing w:before="240" w:after="0"/>
              <w:ind w:left="-8" w:firstLine="163"/>
              <w:jc w:val="center"/>
              <w:rPr>
                <w:sz w:val="20"/>
                <w:szCs w:val="20"/>
              </w:rPr>
            </w:pPr>
            <w:r>
              <w:rPr>
                <w:sz w:val="20"/>
                <w:szCs w:val="20"/>
              </w:rPr>
              <w:t>0,5</w:t>
            </w:r>
          </w:p>
        </w:tc>
        <w:tc>
          <w:tcPr>
            <w:tcW w:w="446" w:type="pct"/>
            <w:vAlign w:val="center"/>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10" w:type="pct"/>
            <w:vAlign w:val="center"/>
          </w:tcPr>
          <w:p w:rsidR="001646BE" w:rsidRPr="003A4F00" w:rsidRDefault="001646BE" w:rsidP="005B5DD2">
            <w:pPr>
              <w:spacing w:before="240" w:after="0"/>
              <w:ind w:left="-8" w:firstLine="163"/>
              <w:jc w:val="center"/>
              <w:rPr>
                <w:sz w:val="20"/>
                <w:szCs w:val="20"/>
              </w:rPr>
            </w:pPr>
            <w:r w:rsidRPr="003A4F00">
              <w:rPr>
                <w:sz w:val="20"/>
                <w:szCs w:val="20"/>
              </w:rPr>
              <w:t>1</w:t>
            </w:r>
          </w:p>
        </w:tc>
      </w:tr>
      <w:tr w:rsidR="001646BE" w:rsidRPr="003A4F00" w:rsidTr="005B5DD2">
        <w:trPr>
          <w:trHeight w:val="546"/>
        </w:trPr>
        <w:tc>
          <w:tcPr>
            <w:tcW w:w="1019" w:type="pct"/>
            <w:vAlign w:val="center"/>
          </w:tcPr>
          <w:p w:rsidR="001646BE" w:rsidRPr="003A4F00" w:rsidRDefault="001646BE" w:rsidP="005B5DD2">
            <w:pPr>
              <w:spacing w:before="240" w:after="0" w:line="240" w:lineRule="auto"/>
              <w:jc w:val="center"/>
              <w:rPr>
                <w:sz w:val="20"/>
                <w:szCs w:val="20"/>
              </w:rPr>
            </w:pPr>
            <w:r w:rsidRPr="003A4F00">
              <w:rPr>
                <w:sz w:val="20"/>
                <w:szCs w:val="20"/>
              </w:rPr>
              <w:t>Vodstvo države prilikom ustroja</w:t>
            </w:r>
          </w:p>
        </w:tc>
        <w:tc>
          <w:tcPr>
            <w:tcW w:w="446" w:type="pct"/>
          </w:tcPr>
          <w:p w:rsidR="001646BE" w:rsidRPr="003A4F00" w:rsidRDefault="00EA745D" w:rsidP="005B5DD2">
            <w:pPr>
              <w:spacing w:before="240" w:after="0"/>
              <w:ind w:left="-8" w:firstLine="163"/>
              <w:jc w:val="center"/>
              <w:rPr>
                <w:sz w:val="20"/>
                <w:szCs w:val="20"/>
              </w:rPr>
            </w:pPr>
            <w:r>
              <w:rPr>
                <w:sz w:val="20"/>
                <w:szCs w:val="20"/>
              </w:rPr>
              <w:t>0,5</w:t>
            </w:r>
          </w:p>
        </w:tc>
        <w:tc>
          <w:tcPr>
            <w:tcW w:w="446" w:type="pct"/>
          </w:tcPr>
          <w:p w:rsidR="001646BE" w:rsidRPr="003A4F00" w:rsidRDefault="00EA745D" w:rsidP="005B5DD2">
            <w:pPr>
              <w:spacing w:before="240" w:after="0"/>
              <w:ind w:left="-8" w:firstLine="163"/>
              <w:jc w:val="center"/>
              <w:rPr>
                <w:sz w:val="20"/>
                <w:szCs w:val="20"/>
              </w:rPr>
            </w:pPr>
            <w:r>
              <w:rPr>
                <w:sz w:val="20"/>
                <w:szCs w:val="20"/>
              </w:rPr>
              <w:t>0,5</w:t>
            </w:r>
          </w:p>
        </w:tc>
        <w:tc>
          <w:tcPr>
            <w:tcW w:w="446" w:type="pct"/>
          </w:tcPr>
          <w:p w:rsidR="001646BE" w:rsidRPr="003A4F00" w:rsidRDefault="00EA745D" w:rsidP="005B5DD2">
            <w:pPr>
              <w:spacing w:before="240" w:after="0"/>
              <w:ind w:left="-8" w:firstLine="163"/>
              <w:jc w:val="center"/>
              <w:rPr>
                <w:sz w:val="20"/>
                <w:szCs w:val="20"/>
              </w:rPr>
            </w:pPr>
            <w:r>
              <w:rPr>
                <w:sz w:val="20"/>
                <w:szCs w:val="20"/>
              </w:rPr>
              <w:t>0,5</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tcPr>
          <w:p w:rsidR="001646BE" w:rsidRPr="003A4F00" w:rsidRDefault="00EA745D" w:rsidP="005B5DD2">
            <w:pPr>
              <w:spacing w:before="240" w:after="0"/>
              <w:ind w:left="-8" w:firstLine="163"/>
              <w:jc w:val="center"/>
              <w:rPr>
                <w:sz w:val="20"/>
                <w:szCs w:val="20"/>
              </w:rPr>
            </w:pPr>
            <w:r>
              <w:rPr>
                <w:sz w:val="20"/>
                <w:szCs w:val="20"/>
              </w:rPr>
              <w:t>0,5</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tcPr>
          <w:p w:rsidR="001646BE" w:rsidRPr="003A4F00" w:rsidRDefault="00EA745D" w:rsidP="005B5DD2">
            <w:pPr>
              <w:spacing w:before="240" w:after="0"/>
              <w:ind w:left="-8" w:firstLine="163"/>
              <w:jc w:val="center"/>
              <w:rPr>
                <w:sz w:val="20"/>
                <w:szCs w:val="20"/>
              </w:rPr>
            </w:pPr>
            <w:r>
              <w:rPr>
                <w:sz w:val="20"/>
                <w:szCs w:val="20"/>
              </w:rPr>
              <w:t>0,5</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10" w:type="pct"/>
          </w:tcPr>
          <w:p w:rsidR="001646BE" w:rsidRPr="003A4F00" w:rsidRDefault="001646BE" w:rsidP="005B5DD2">
            <w:pPr>
              <w:spacing w:before="240" w:after="0"/>
              <w:ind w:left="-8" w:firstLine="163"/>
              <w:jc w:val="center"/>
              <w:rPr>
                <w:sz w:val="20"/>
                <w:szCs w:val="20"/>
              </w:rPr>
            </w:pPr>
            <w:r w:rsidRPr="003A4F00">
              <w:rPr>
                <w:sz w:val="20"/>
                <w:szCs w:val="20"/>
              </w:rPr>
              <w:t>1</w:t>
            </w:r>
          </w:p>
        </w:tc>
      </w:tr>
      <w:tr w:rsidR="001646BE" w:rsidRPr="003A4F00" w:rsidTr="005B5DD2">
        <w:trPr>
          <w:trHeight w:val="546"/>
        </w:trPr>
        <w:tc>
          <w:tcPr>
            <w:tcW w:w="1019" w:type="pct"/>
            <w:vAlign w:val="center"/>
          </w:tcPr>
          <w:p w:rsidR="001646BE" w:rsidRPr="003A4F00" w:rsidRDefault="001646BE" w:rsidP="005B5DD2">
            <w:pPr>
              <w:spacing w:before="240" w:after="0" w:line="240" w:lineRule="auto"/>
              <w:jc w:val="center"/>
              <w:rPr>
                <w:sz w:val="20"/>
                <w:szCs w:val="20"/>
              </w:rPr>
            </w:pPr>
            <w:r w:rsidRPr="003A4F00">
              <w:rPr>
                <w:sz w:val="20"/>
                <w:szCs w:val="20"/>
              </w:rPr>
              <w:t>Involviranost korisnika</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tcPr>
          <w:p w:rsidR="001646BE" w:rsidRPr="003A4F00" w:rsidRDefault="00EA745D" w:rsidP="005B5DD2">
            <w:pPr>
              <w:spacing w:before="240" w:after="0"/>
              <w:ind w:left="-8" w:firstLine="163"/>
              <w:jc w:val="center"/>
              <w:rPr>
                <w:sz w:val="20"/>
                <w:szCs w:val="20"/>
              </w:rPr>
            </w:pPr>
            <w:r>
              <w:rPr>
                <w:sz w:val="20"/>
                <w:szCs w:val="20"/>
              </w:rPr>
              <w:t>0,5</w:t>
            </w:r>
          </w:p>
        </w:tc>
        <w:tc>
          <w:tcPr>
            <w:tcW w:w="446" w:type="pct"/>
          </w:tcPr>
          <w:p w:rsidR="001646BE" w:rsidRPr="003A4F00" w:rsidRDefault="00EA745D" w:rsidP="005B5DD2">
            <w:pPr>
              <w:spacing w:before="240" w:after="0"/>
              <w:ind w:left="-8" w:firstLine="163"/>
              <w:jc w:val="center"/>
              <w:rPr>
                <w:sz w:val="20"/>
                <w:szCs w:val="20"/>
              </w:rPr>
            </w:pPr>
            <w:r>
              <w:rPr>
                <w:sz w:val="20"/>
                <w:szCs w:val="20"/>
              </w:rPr>
              <w:t>0,5</w:t>
            </w:r>
          </w:p>
        </w:tc>
        <w:tc>
          <w:tcPr>
            <w:tcW w:w="446" w:type="pct"/>
          </w:tcPr>
          <w:p w:rsidR="001646BE" w:rsidRPr="003A4F00" w:rsidRDefault="00EA745D" w:rsidP="005B5DD2">
            <w:pPr>
              <w:spacing w:before="240" w:after="0"/>
              <w:ind w:left="-8" w:firstLine="163"/>
              <w:jc w:val="center"/>
              <w:rPr>
                <w:sz w:val="20"/>
                <w:szCs w:val="20"/>
              </w:rPr>
            </w:pPr>
            <w:r>
              <w:rPr>
                <w:sz w:val="20"/>
                <w:szCs w:val="20"/>
              </w:rPr>
              <w:t>0,5</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0</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tcPr>
          <w:p w:rsidR="001646BE" w:rsidRPr="003A4F00" w:rsidRDefault="00EA745D" w:rsidP="005B5DD2">
            <w:pPr>
              <w:spacing w:before="240" w:after="0"/>
              <w:ind w:left="-8" w:firstLine="163"/>
              <w:jc w:val="center"/>
              <w:rPr>
                <w:sz w:val="20"/>
                <w:szCs w:val="20"/>
              </w:rPr>
            </w:pPr>
            <w:r>
              <w:rPr>
                <w:sz w:val="20"/>
                <w:szCs w:val="20"/>
              </w:rPr>
              <w:t>0,5</w:t>
            </w:r>
          </w:p>
        </w:tc>
        <w:tc>
          <w:tcPr>
            <w:tcW w:w="410" w:type="pct"/>
          </w:tcPr>
          <w:p w:rsidR="001646BE" w:rsidRPr="003A4F00" w:rsidRDefault="001646BE" w:rsidP="005B5DD2">
            <w:pPr>
              <w:spacing w:before="240" w:after="0"/>
              <w:ind w:left="-8" w:firstLine="163"/>
              <w:jc w:val="center"/>
              <w:rPr>
                <w:sz w:val="20"/>
                <w:szCs w:val="20"/>
              </w:rPr>
            </w:pPr>
            <w:r w:rsidRPr="003A4F00">
              <w:rPr>
                <w:sz w:val="20"/>
                <w:szCs w:val="20"/>
              </w:rPr>
              <w:t>1</w:t>
            </w:r>
          </w:p>
        </w:tc>
      </w:tr>
      <w:tr w:rsidR="001646BE" w:rsidRPr="003A4F00" w:rsidTr="005B5DD2">
        <w:trPr>
          <w:trHeight w:val="546"/>
        </w:trPr>
        <w:tc>
          <w:tcPr>
            <w:tcW w:w="1019" w:type="pct"/>
            <w:vAlign w:val="center"/>
          </w:tcPr>
          <w:p w:rsidR="001646BE" w:rsidRPr="003A4F00" w:rsidRDefault="001646BE" w:rsidP="005B5DD2">
            <w:pPr>
              <w:spacing w:before="240" w:after="0" w:line="240" w:lineRule="auto"/>
              <w:jc w:val="center"/>
              <w:rPr>
                <w:sz w:val="20"/>
                <w:szCs w:val="20"/>
              </w:rPr>
            </w:pPr>
            <w:r w:rsidRPr="003A4F00">
              <w:rPr>
                <w:sz w:val="16"/>
                <w:szCs w:val="16"/>
              </w:rPr>
              <w:t>∑</w:t>
            </w:r>
            <w:r w:rsidRPr="003A4F00">
              <w:rPr>
                <w:sz w:val="20"/>
                <w:szCs w:val="20"/>
              </w:rPr>
              <w:t xml:space="preserve"> bodova</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2</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4</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3</w:t>
            </w:r>
          </w:p>
        </w:tc>
        <w:tc>
          <w:tcPr>
            <w:tcW w:w="446" w:type="pct"/>
          </w:tcPr>
          <w:p w:rsidR="001646BE" w:rsidRPr="003A4F00" w:rsidRDefault="00EA745D" w:rsidP="005B5DD2">
            <w:pPr>
              <w:spacing w:before="240" w:after="0"/>
              <w:ind w:left="-8" w:firstLine="163"/>
              <w:jc w:val="center"/>
              <w:rPr>
                <w:sz w:val="20"/>
                <w:szCs w:val="20"/>
              </w:rPr>
            </w:pPr>
            <w:r>
              <w:rPr>
                <w:sz w:val="20"/>
                <w:szCs w:val="20"/>
              </w:rPr>
              <w:t>5,</w:t>
            </w:r>
            <w:r w:rsidR="001646BE" w:rsidRPr="003A4F00">
              <w:rPr>
                <w:sz w:val="20"/>
                <w:szCs w:val="20"/>
              </w:rPr>
              <w:t>5</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6</w:t>
            </w:r>
          </w:p>
        </w:tc>
        <w:tc>
          <w:tcPr>
            <w:tcW w:w="446" w:type="pct"/>
          </w:tcPr>
          <w:p w:rsidR="001646BE" w:rsidRPr="003A4F00" w:rsidRDefault="001646BE" w:rsidP="005B5DD2">
            <w:pPr>
              <w:spacing w:before="240" w:after="0"/>
              <w:ind w:left="-8" w:firstLine="163"/>
              <w:jc w:val="center"/>
              <w:rPr>
                <w:sz w:val="20"/>
                <w:szCs w:val="20"/>
              </w:rPr>
            </w:pPr>
            <w:r w:rsidRPr="003A4F00">
              <w:rPr>
                <w:sz w:val="20"/>
                <w:szCs w:val="20"/>
              </w:rPr>
              <w:t>1</w:t>
            </w:r>
          </w:p>
        </w:tc>
        <w:tc>
          <w:tcPr>
            <w:tcW w:w="446" w:type="pct"/>
          </w:tcPr>
          <w:p w:rsidR="001646BE" w:rsidRPr="003A4F00" w:rsidRDefault="00EA745D" w:rsidP="005B5DD2">
            <w:pPr>
              <w:spacing w:before="240" w:after="0"/>
              <w:ind w:left="-8" w:firstLine="163"/>
              <w:jc w:val="center"/>
              <w:rPr>
                <w:sz w:val="20"/>
                <w:szCs w:val="20"/>
              </w:rPr>
            </w:pPr>
            <w:r>
              <w:rPr>
                <w:sz w:val="20"/>
                <w:szCs w:val="20"/>
              </w:rPr>
              <w:t>6,</w:t>
            </w:r>
            <w:r w:rsidR="001646BE" w:rsidRPr="003A4F00">
              <w:rPr>
                <w:sz w:val="20"/>
                <w:szCs w:val="20"/>
              </w:rPr>
              <w:t>5</w:t>
            </w:r>
          </w:p>
        </w:tc>
        <w:tc>
          <w:tcPr>
            <w:tcW w:w="446" w:type="pct"/>
          </w:tcPr>
          <w:p w:rsidR="001646BE" w:rsidRPr="003A4F00" w:rsidRDefault="00EA745D" w:rsidP="005B5DD2">
            <w:pPr>
              <w:spacing w:before="240" w:after="0"/>
              <w:ind w:left="-8" w:firstLine="163"/>
              <w:jc w:val="center"/>
              <w:rPr>
                <w:sz w:val="20"/>
                <w:szCs w:val="20"/>
              </w:rPr>
            </w:pPr>
            <w:r>
              <w:rPr>
                <w:sz w:val="20"/>
                <w:szCs w:val="20"/>
              </w:rPr>
              <w:t>2,</w:t>
            </w:r>
            <w:r w:rsidR="001646BE" w:rsidRPr="003A4F00">
              <w:rPr>
                <w:sz w:val="20"/>
                <w:szCs w:val="20"/>
              </w:rPr>
              <w:t>5</w:t>
            </w:r>
          </w:p>
        </w:tc>
        <w:tc>
          <w:tcPr>
            <w:tcW w:w="410" w:type="pct"/>
          </w:tcPr>
          <w:p w:rsidR="001646BE" w:rsidRPr="003A4F00" w:rsidRDefault="00EA745D" w:rsidP="005B5DD2">
            <w:pPr>
              <w:spacing w:before="240" w:after="0"/>
              <w:ind w:left="-8" w:firstLine="163"/>
              <w:jc w:val="center"/>
              <w:rPr>
                <w:sz w:val="20"/>
                <w:szCs w:val="20"/>
              </w:rPr>
            </w:pPr>
            <w:r>
              <w:rPr>
                <w:sz w:val="20"/>
                <w:szCs w:val="20"/>
              </w:rPr>
              <w:t>7,</w:t>
            </w:r>
            <w:r w:rsidR="001646BE" w:rsidRPr="003A4F00">
              <w:rPr>
                <w:sz w:val="20"/>
                <w:szCs w:val="20"/>
              </w:rPr>
              <w:t>5</w:t>
            </w:r>
          </w:p>
        </w:tc>
      </w:tr>
    </w:tbl>
    <w:p w:rsidR="001646BE" w:rsidRDefault="001646BE" w:rsidP="005B5DD2">
      <w:pPr>
        <w:spacing w:before="240" w:after="0" w:line="240" w:lineRule="auto"/>
        <w:ind w:left="168"/>
        <w:rPr>
          <w:sz w:val="20"/>
          <w:szCs w:val="20"/>
        </w:rPr>
      </w:pPr>
      <w:r>
        <w:rPr>
          <w:sz w:val="20"/>
          <w:szCs w:val="20"/>
        </w:rPr>
        <w:t>Izvor: Performance Review Commision: “Evaluation of FAB initiatives and their contribution to performance improvement“, Eurocontrol 2008.</w:t>
      </w:r>
    </w:p>
    <w:p w:rsidR="001646BE" w:rsidRPr="0073472A" w:rsidRDefault="001646BE" w:rsidP="00893C47">
      <w:pPr>
        <w:spacing w:line="240" w:lineRule="auto"/>
        <w:ind w:left="168"/>
        <w:rPr>
          <w:sz w:val="20"/>
          <w:szCs w:val="20"/>
        </w:rPr>
      </w:pPr>
    </w:p>
    <w:p w:rsidR="001646BE" w:rsidRDefault="001646BE" w:rsidP="00893C47">
      <w:pPr>
        <w:ind w:firstLine="360"/>
      </w:pPr>
      <w:r>
        <w:lastRenderedPageBreak/>
        <w:t>Tablica 12 brojčano prikazuje ono što se vidi i na slici 14, tj. napredak pojedinih FAB-ova. Inicijative koji koriste velik broj metoda i sporazuma i FAB-ovi koji iste te metode primjenjuju u potpunosti, a ne djelomično, nalaze se u znatno zrelijim fazama ustroja. Prema tome, jedini trenutno ustrojeni FAB (UK - Ireland) ima najbolje rezultate u kategoriji prim</w:t>
      </w:r>
      <w:r w:rsidR="00EA745D">
        <w:t>ijenjenih metoda i sporazuma (7,</w:t>
      </w:r>
      <w:r>
        <w:t>5), dok sljedeći najnapredniji FA</w:t>
      </w:r>
      <w:r w:rsidR="00EA745D">
        <w:t>B (NUAC) drži drugo mjesto sa 6,</w:t>
      </w:r>
      <w:r>
        <w:t>5 bodova. Inicijative u početnim stadijima (SW Portugal - Spain, NEF</w:t>
      </w:r>
      <w:r w:rsidR="00EA745D">
        <w:t>AB i Baltic) imaju između 1 - 2,</w:t>
      </w:r>
      <w:r>
        <w:t>5 bodova. Iz navedenog se očituje korelacija između raspona i primjenjivosti metoda i sporazuma sa stupnjem razvoja FAB-ova.</w:t>
      </w:r>
    </w:p>
    <w:p w:rsidR="001646BE" w:rsidRDefault="001646BE" w:rsidP="00893C47">
      <w:pPr>
        <w:ind w:firstLine="360"/>
      </w:pPr>
      <w:r>
        <w:t>Usporedba FAB inicijativa u pogledu sigurnosti vrši se na temelju dva principa. Prvi se sastoji u određivanju stupnja sigurnosne zrelosti, dok se drugi odnosi na ispunjavanje ESARR</w:t>
      </w:r>
      <w:r>
        <w:rPr>
          <w:rStyle w:val="FootnoteReference"/>
        </w:rPr>
        <w:footnoteReference w:id="31"/>
      </w:r>
      <w:r>
        <w:t xml:space="preserve"> zahtjeva. Prema prvom principu (stupanj sigurnosne zrelosti) FAB inicijative koje pokazuju najviši stupanj zrelosti su NUAC, NEFAB, UK-IR te BALTIC, dok se najniži stupanj zrelosti pokazuju CE, BLUE MED i EC. Što se tiče ispunjavanja ESARR zahtjeva, jedino je Švedska u potpunosti ispunila sve ESARR zahtjeve, dok je stanje po tom pitanju najgore u Grčkoj, BiH, Hrvatskoj i Bugarskoj. </w:t>
      </w: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pStyle w:val="Heading3"/>
      </w:pPr>
      <w:bookmarkStart w:id="33" w:name="_Toc296339022"/>
      <w:r>
        <w:lastRenderedPageBreak/>
        <w:t>3.3.1</w:t>
      </w:r>
      <w:r>
        <w:tab/>
        <w:t>EKONOMSKA EFIKASNOST</w:t>
      </w:r>
      <w:bookmarkEnd w:id="33"/>
    </w:p>
    <w:p w:rsidR="001646BE" w:rsidRPr="002760DA" w:rsidRDefault="001646BE" w:rsidP="00893C47"/>
    <w:p w:rsidR="001646BE" w:rsidRPr="00ED3C8A" w:rsidRDefault="001646BE" w:rsidP="00893C47">
      <w:pPr>
        <w:ind w:firstLine="360"/>
      </w:pPr>
      <w:r>
        <w:t>Usporedba FAB inicijativa u pogledu ekonomske efikasnosti vrši se na temelju nekoliko indikatora (ekonomska isplativost - ATM/CNS troškovi, ATCO troškovi, ostali troškovi, ATCO prosjek sati na dužnosti, ATCO produktivnost, broj pomoćnog osoblja, te ukupna vrijednost imovine FAB-ova).</w:t>
      </w:r>
    </w:p>
    <w:p w:rsidR="001646BE" w:rsidRPr="00FB7B6C" w:rsidRDefault="001646BE" w:rsidP="00893C47">
      <w:pPr>
        <w:ind w:firstLine="360"/>
      </w:pPr>
      <w:r>
        <w:t>Usporedba FAB-ova u pogledu ATM/CNS troškova ogleda se u trošku pružanja usluga po satu leta za pojedini FAB. Troškovna struktura ogleda se u grafikonu 19. Evidentno je da postoje znatne razlike između pojedinih FAB-ova, tako npr. navedeni trošak u FAB-u SW Portugal - Spain iznosi 504 eura/satu leta, dok u FAB-u Baltic iznosi 258 eura/satu leta. Postoje i znatne razlike između zemalja članica istog FAB-a, što može biti jedna od prepreka uspostavi jedinstvene naplate unutar FAB-a. Iz grafikona 19 se vidi da je najveća razlika između zemalja članica u FAB-u EC, gdje ona iznosi gotovo 500 eura za istu uslugu po satu leta. Najveći troškovi javljaju se u FAB-ovima SW Portugal - Spain, Danube i Blue Med, dok su Baltic i NUAC FAB-ovi s najmanjim ATM/CNS troškovima/satu leta.</w:t>
      </w:r>
    </w:p>
    <w:p w:rsidR="001646BE" w:rsidRDefault="00E02CBE" w:rsidP="00893C47">
      <w:pPr>
        <w:spacing w:after="0"/>
        <w:ind w:firstLine="360"/>
        <w:rPr>
          <w:sz w:val="20"/>
          <w:szCs w:val="20"/>
        </w:rPr>
      </w:pPr>
      <w:r>
        <w:rPr>
          <w:noProof/>
          <w:sz w:val="20"/>
          <w:szCs w:val="20"/>
          <w:lang w:eastAsia="hr-HR"/>
        </w:rPr>
        <w:drawing>
          <wp:inline distT="0" distB="0" distL="0" distR="0">
            <wp:extent cx="4000500" cy="247650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srcRect/>
                    <a:stretch>
                      <a:fillRect/>
                    </a:stretch>
                  </pic:blipFill>
                  <pic:spPr bwMode="auto">
                    <a:xfrm>
                      <a:off x="0" y="0"/>
                      <a:ext cx="4000500" cy="2476500"/>
                    </a:xfrm>
                    <a:prstGeom prst="rect">
                      <a:avLst/>
                    </a:prstGeom>
                    <a:noFill/>
                    <a:ln w="9525">
                      <a:noFill/>
                      <a:miter lim="800000"/>
                      <a:headEnd/>
                      <a:tailEnd/>
                    </a:ln>
                  </pic:spPr>
                </pic:pic>
              </a:graphicData>
            </a:graphic>
          </wp:inline>
        </w:drawing>
      </w:r>
    </w:p>
    <w:p w:rsidR="001646BE" w:rsidRPr="00ED3C8A" w:rsidRDefault="001646BE" w:rsidP="00893C47">
      <w:pPr>
        <w:spacing w:after="0"/>
        <w:ind w:firstLine="360"/>
        <w:rPr>
          <w:b/>
          <w:bCs/>
          <w:sz w:val="20"/>
          <w:szCs w:val="20"/>
        </w:rPr>
      </w:pPr>
      <w:r>
        <w:rPr>
          <w:sz w:val="20"/>
          <w:szCs w:val="20"/>
        </w:rPr>
        <w:tab/>
      </w:r>
      <w:r>
        <w:rPr>
          <w:b/>
          <w:bCs/>
          <w:sz w:val="20"/>
          <w:szCs w:val="20"/>
        </w:rPr>
        <w:t xml:space="preserve">Grafikon 19: </w:t>
      </w:r>
      <w:r w:rsidRPr="00ED3C8A">
        <w:rPr>
          <w:b/>
          <w:bCs/>
          <w:sz w:val="20"/>
          <w:szCs w:val="20"/>
        </w:rPr>
        <w:t>ATM/CNS troškovi po satu leta za pojedinu FAB inicijativu.</w:t>
      </w:r>
    </w:p>
    <w:p w:rsidR="001646BE" w:rsidRDefault="001646BE" w:rsidP="00893C47">
      <w:pPr>
        <w:spacing w:after="0"/>
        <w:ind w:left="709"/>
        <w:rPr>
          <w:sz w:val="20"/>
          <w:szCs w:val="20"/>
        </w:rPr>
      </w:pPr>
      <w:r>
        <w:rPr>
          <w:sz w:val="20"/>
          <w:szCs w:val="20"/>
        </w:rPr>
        <w:t>Izvor: Performance Review Commision: “Evaluation of FAB initiatives and their contribution to performance improvement“, Eurocontrol 2008.</w:t>
      </w:r>
    </w:p>
    <w:p w:rsidR="001646BE" w:rsidRPr="009F7C7C" w:rsidRDefault="001646BE" w:rsidP="00893C47">
      <w:pPr>
        <w:spacing w:after="0" w:line="240" w:lineRule="auto"/>
        <w:ind w:left="709"/>
        <w:rPr>
          <w:sz w:val="20"/>
          <w:szCs w:val="20"/>
        </w:rPr>
      </w:pPr>
    </w:p>
    <w:p w:rsidR="001646BE" w:rsidRPr="00ED3C8A" w:rsidRDefault="001646BE" w:rsidP="00893C47">
      <w:pPr>
        <w:ind w:firstLine="360"/>
      </w:pPr>
      <w:r>
        <w:t>Iako postoji znatna razlika u ATM/CNS troškovima FAB-ova, u poslijednjih desetak godina bilježi se osjetan pad navedenih troškova na prostoru svih devet FAB inicijativa [</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Pr="007C2CB8" w:rsidRDefault="001646BE" w:rsidP="00893C47">
      <w:pPr>
        <w:ind w:firstLine="360"/>
      </w:pPr>
      <w:r>
        <w:t xml:space="preserve">Troškovi </w:t>
      </w:r>
      <w:r w:rsidRPr="007C2CB8">
        <w:t>ATCO</w:t>
      </w:r>
      <w:r>
        <w:t xml:space="preserve">-a po satu leta ne razlikuju se znatno između različitih FAB-ova, ukoliko izuzmemo FAB SW Portugal - Spain, gdje su ti troškovi ekstremno viši od svih ostalih FAB </w:t>
      </w:r>
      <w:r>
        <w:lastRenderedPageBreak/>
        <w:t xml:space="preserve">inicijativa (265 eura/satu leta). Najmanji troškovi javljaju se u FAB-u Baltic gdje iznose svega 64 eura/satu leta. Navedeno se vidi na grafikonu 20. </w:t>
      </w:r>
    </w:p>
    <w:p w:rsidR="001646BE" w:rsidRDefault="00E02CBE" w:rsidP="00893C47">
      <w:pPr>
        <w:spacing w:after="0"/>
      </w:pPr>
      <w:r>
        <w:rPr>
          <w:noProof/>
          <w:lang w:eastAsia="hr-HR"/>
        </w:rPr>
        <w:drawing>
          <wp:inline distT="0" distB="0" distL="0" distR="0">
            <wp:extent cx="3829050" cy="2343150"/>
            <wp:effectExtent l="19050" t="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a:stretch>
                      <a:fillRect/>
                    </a:stretch>
                  </pic:blipFill>
                  <pic:spPr bwMode="auto">
                    <a:xfrm>
                      <a:off x="0" y="0"/>
                      <a:ext cx="3829050" cy="2343150"/>
                    </a:xfrm>
                    <a:prstGeom prst="rect">
                      <a:avLst/>
                    </a:prstGeom>
                    <a:noFill/>
                    <a:ln w="9525">
                      <a:noFill/>
                      <a:miter lim="800000"/>
                      <a:headEnd/>
                      <a:tailEnd/>
                    </a:ln>
                  </pic:spPr>
                </pic:pic>
              </a:graphicData>
            </a:graphic>
          </wp:inline>
        </w:drawing>
      </w:r>
    </w:p>
    <w:p w:rsidR="001646BE" w:rsidRPr="00ED3C8A" w:rsidRDefault="001646BE" w:rsidP="00893C47">
      <w:pPr>
        <w:spacing w:after="0"/>
        <w:ind w:firstLine="360"/>
        <w:rPr>
          <w:b/>
          <w:bCs/>
          <w:sz w:val="20"/>
          <w:szCs w:val="20"/>
        </w:rPr>
      </w:pPr>
      <w:r>
        <w:rPr>
          <w:b/>
          <w:bCs/>
          <w:sz w:val="20"/>
          <w:szCs w:val="20"/>
        </w:rPr>
        <w:t xml:space="preserve">Grafikon 20: </w:t>
      </w:r>
      <w:r w:rsidRPr="00ED3C8A">
        <w:rPr>
          <w:b/>
          <w:bCs/>
          <w:sz w:val="20"/>
          <w:szCs w:val="20"/>
        </w:rPr>
        <w:t>ATCO troškovi po satu leta za pojedinu FAB inicijativu.</w:t>
      </w:r>
    </w:p>
    <w:p w:rsidR="001646BE" w:rsidRDefault="001646BE" w:rsidP="00893C47">
      <w:pPr>
        <w:spacing w:after="0"/>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line="240" w:lineRule="auto"/>
        <w:ind w:left="360"/>
        <w:rPr>
          <w:sz w:val="20"/>
          <w:szCs w:val="20"/>
        </w:rPr>
      </w:pPr>
    </w:p>
    <w:p w:rsidR="001646BE" w:rsidRPr="000C65EA" w:rsidRDefault="001646BE" w:rsidP="00893C47">
      <w:pPr>
        <w:ind w:firstLine="360"/>
      </w:pPr>
      <w:r>
        <w:t xml:space="preserve"> Prosječno vrijeme rada ATCO-a u različitim FAB inicijativama kreće se u granicama od 1760 sati ATCO-a na dužnosti godišnje (SW Portugal - Spain), do 1280 sati ATCO-a na dužnosti godišnje (Baltic). Navedene vrijednosti donekle opravdavaju izrazito visoke ATCO troškove ATCO-a po satu leta u FAB-u SW Portugal - Spain, te izrazito niske troškove u FAB-u Baltic. Ostali FAB-ovi mjere ATCO vrijeme rada uglavnom u razmjeru od 1400 - 1600 sati ATCO-a na dužnosti godišnje. Produktivnost ATCO-a mjeri se odnosom sata leta/ATCO sat vremena na dužnosti. Prosječna vrijednost za s</w:t>
      </w:r>
      <w:r w:rsidR="00EA745D">
        <w:t>ve FAB inicijative iznosi oko 0,</w:t>
      </w:r>
      <w:r>
        <w:t xml:space="preserve">75 sati leta/ATCO sat vremena na dužnosti. Najproduktivniji FAB </w:t>
      </w:r>
      <w:r w:rsidR="00EA745D">
        <w:t>je UK-IR sa produktivnošću od 0,</w:t>
      </w:r>
      <w:r>
        <w:t>95 sati leta/ATCO sat vremena na dužnosti, do</w:t>
      </w:r>
      <w:r w:rsidR="00EA745D">
        <w:t>k je najslabiji FAB Danube sa 0,</w:t>
      </w:r>
      <w:r>
        <w:t>4 sati leta/ATCO sat vremena na dužnosti. Ostali FAB-ovi mjere produkti</w:t>
      </w:r>
      <w:r w:rsidR="00EA745D">
        <w:t>vnost uglavnom u granicama od 0,65 - 0,</w:t>
      </w:r>
      <w:r>
        <w:t xml:space="preserve">8 sati leta/ATCO sat vremena na dužnosti. </w:t>
      </w:r>
    </w:p>
    <w:p w:rsidR="001646BE" w:rsidRDefault="001646BE" w:rsidP="00893C47">
      <w:pPr>
        <w:ind w:firstLine="360"/>
      </w:pPr>
      <w:r>
        <w:t>Ukupna vrijednost imovine FAB-ova znatno se razlikuje između devet FAB inicijativa, tako je FAB EC inicijativa sa najvećom vrijednošću imovine, dok su Danube i Baltic najmanje inicijative prema ovom indikatoru. Navedeno se vidi u grafikonu 21.</w:t>
      </w:r>
    </w:p>
    <w:p w:rsidR="001646BE" w:rsidRDefault="00E02CBE" w:rsidP="00893C47">
      <w:pPr>
        <w:spacing w:after="0"/>
        <w:ind w:firstLine="360"/>
      </w:pPr>
      <w:r>
        <w:rPr>
          <w:noProof/>
          <w:lang w:eastAsia="hr-HR"/>
        </w:rPr>
        <w:lastRenderedPageBreak/>
        <w:drawing>
          <wp:inline distT="0" distB="0" distL="0" distR="0">
            <wp:extent cx="3724275" cy="2247900"/>
            <wp:effectExtent l="1905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srcRect/>
                    <a:stretch>
                      <a:fillRect/>
                    </a:stretch>
                  </pic:blipFill>
                  <pic:spPr bwMode="auto">
                    <a:xfrm>
                      <a:off x="0" y="0"/>
                      <a:ext cx="3724275" cy="2247900"/>
                    </a:xfrm>
                    <a:prstGeom prst="rect">
                      <a:avLst/>
                    </a:prstGeom>
                    <a:noFill/>
                    <a:ln w="9525">
                      <a:noFill/>
                      <a:miter lim="800000"/>
                      <a:headEnd/>
                      <a:tailEnd/>
                    </a:ln>
                  </pic:spPr>
                </pic:pic>
              </a:graphicData>
            </a:graphic>
          </wp:inline>
        </w:drawing>
      </w:r>
    </w:p>
    <w:p w:rsidR="001646BE" w:rsidRPr="004370B8" w:rsidRDefault="001646BE" w:rsidP="00893C47">
      <w:pPr>
        <w:spacing w:after="0"/>
        <w:ind w:firstLine="360"/>
        <w:rPr>
          <w:b/>
          <w:bCs/>
          <w:sz w:val="20"/>
          <w:szCs w:val="20"/>
        </w:rPr>
      </w:pPr>
      <w:r>
        <w:rPr>
          <w:b/>
          <w:bCs/>
          <w:sz w:val="20"/>
          <w:szCs w:val="20"/>
        </w:rPr>
        <w:t xml:space="preserve">Grafikon 21: </w:t>
      </w:r>
      <w:r w:rsidRPr="004370B8">
        <w:rPr>
          <w:b/>
          <w:bCs/>
          <w:sz w:val="20"/>
          <w:szCs w:val="20"/>
        </w:rPr>
        <w:t>ukupna vrijednost imovine FAB-ova.</w:t>
      </w:r>
    </w:p>
    <w:p w:rsidR="001646BE" w:rsidRDefault="001646BE" w:rsidP="00893C47">
      <w:pPr>
        <w:spacing w:after="0"/>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line="240" w:lineRule="auto"/>
        <w:ind w:left="360"/>
        <w:rPr>
          <w:sz w:val="20"/>
          <w:szCs w:val="20"/>
        </w:rPr>
      </w:pPr>
    </w:p>
    <w:p w:rsidR="001646BE" w:rsidRDefault="001646BE" w:rsidP="00893C47">
      <w:pPr>
        <w:ind w:firstLine="360"/>
      </w:pPr>
      <w:r>
        <w:t>U pogledu broja pomoćnog osoblja na 1000 sati leta, prosjek svih FAB-ova iznosi ukupno dvoje zaposlenih u funkciji pomoćnog osoblja po 1000 sati leta. Veliko odstupanje od prosjeka primjećuje se u FAB-u Danube, gdje broj zaposlenih premašuje petero zaposlenih u funkciji pomoćnog osoblja po 1000 sati leta, dok je u FAB-u NUAC zaposlen samo jedan djelatnik u funkciji pomoćnog osoblja po 1000 satu leta [</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pPr>
        <w:ind w:firstLine="360"/>
      </w:pPr>
    </w:p>
    <w:p w:rsidR="001646BE" w:rsidRPr="002760DA" w:rsidRDefault="001646BE" w:rsidP="00893C47">
      <w:pPr>
        <w:ind w:firstLine="360"/>
      </w:pPr>
    </w:p>
    <w:p w:rsidR="001646BE" w:rsidRDefault="001646BE" w:rsidP="00893C47">
      <w:pPr>
        <w:rPr>
          <w:sz w:val="20"/>
          <w:szCs w:val="20"/>
        </w:rPr>
      </w:pPr>
    </w:p>
    <w:p w:rsidR="001646BE" w:rsidRDefault="001646BE" w:rsidP="00893C47">
      <w:pPr>
        <w:rPr>
          <w:sz w:val="20"/>
          <w:szCs w:val="20"/>
        </w:rPr>
      </w:pPr>
    </w:p>
    <w:p w:rsidR="001646BE" w:rsidRDefault="001646BE" w:rsidP="00893C47">
      <w:pPr>
        <w:rPr>
          <w:sz w:val="20"/>
          <w:szCs w:val="20"/>
        </w:rPr>
      </w:pPr>
    </w:p>
    <w:p w:rsidR="001646BE" w:rsidRDefault="001646BE" w:rsidP="00893C47">
      <w:pPr>
        <w:rPr>
          <w:sz w:val="20"/>
          <w:szCs w:val="20"/>
        </w:rPr>
      </w:pPr>
    </w:p>
    <w:p w:rsidR="001646BE" w:rsidRDefault="001646BE" w:rsidP="00893C47">
      <w:pPr>
        <w:rPr>
          <w:sz w:val="20"/>
          <w:szCs w:val="20"/>
        </w:rPr>
      </w:pPr>
    </w:p>
    <w:p w:rsidR="001646BE" w:rsidRDefault="001646BE" w:rsidP="00893C47">
      <w:pPr>
        <w:rPr>
          <w:sz w:val="20"/>
          <w:szCs w:val="20"/>
        </w:rPr>
      </w:pPr>
    </w:p>
    <w:p w:rsidR="001646BE" w:rsidRDefault="001646BE" w:rsidP="00893C47">
      <w:pPr>
        <w:rPr>
          <w:sz w:val="20"/>
          <w:szCs w:val="20"/>
        </w:rPr>
      </w:pPr>
    </w:p>
    <w:p w:rsidR="001646BE" w:rsidRDefault="001646BE" w:rsidP="00893C47">
      <w:pPr>
        <w:rPr>
          <w:sz w:val="20"/>
          <w:szCs w:val="20"/>
        </w:rPr>
      </w:pPr>
    </w:p>
    <w:p w:rsidR="001646BE" w:rsidRDefault="001646BE" w:rsidP="00893C47">
      <w:pPr>
        <w:rPr>
          <w:sz w:val="20"/>
          <w:szCs w:val="20"/>
        </w:rPr>
      </w:pPr>
    </w:p>
    <w:p w:rsidR="001646BE" w:rsidRDefault="001646BE" w:rsidP="00893C47">
      <w:pPr>
        <w:pStyle w:val="Heading3"/>
      </w:pPr>
      <w:bookmarkStart w:id="34" w:name="_Toc296339023"/>
      <w:r>
        <w:lastRenderedPageBreak/>
        <w:t>3.3.2</w:t>
      </w:r>
      <w:r>
        <w:tab/>
        <w:t>OPERATIVNA EFIKASNOST</w:t>
      </w:r>
      <w:bookmarkEnd w:id="34"/>
    </w:p>
    <w:p w:rsidR="001646BE" w:rsidRDefault="001646BE" w:rsidP="00893C47"/>
    <w:p w:rsidR="001646BE" w:rsidRDefault="001646BE" w:rsidP="00893C47">
      <w:pPr>
        <w:ind w:firstLine="360"/>
      </w:pPr>
      <w:r>
        <w:t>Usporedba FAB inicijativa u pogledu operativne efikasnosti vrši se na temelju nekoliko indikatora (ATFM kašnjenje letova, horizontalna učinkovitost ruta, suradnja s vojskom - FUA koncept, redizajn zračnog prostora, učinci na okoliš, te mjere tehničke efikasnosti).</w:t>
      </w:r>
    </w:p>
    <w:p w:rsidR="001646BE" w:rsidRPr="00517CD8" w:rsidRDefault="001646BE" w:rsidP="00893C47">
      <w:pPr>
        <w:ind w:firstLine="360"/>
      </w:pPr>
      <w:r>
        <w:t xml:space="preserve">Usporedba FAB-ova u pogledu ATFM kašnjenja ogleda se u kašnjenju po kontroliranom satu leta. U FAB-ovima u kojima kapacitet zračnog prostora ne predstavlja problem (Danube), ne javlja se ATFM kašnjenje, dok se u nekim drugim FAB-ovim javljaju znatna ATFM kašnjenja (CE, SW Portugal - Spain, Baltic). Pregled ATFM kašnjenja po FAB-ovim prikazan je na grafikonu 22. Uočljivo je da u FAB-ovima u kojima se javlja snažniji rast broja kontroliranih sati leta, usporedno raste i stopa ATFM kašnjenja. </w:t>
      </w:r>
    </w:p>
    <w:p w:rsidR="001646BE" w:rsidRDefault="00E02CBE" w:rsidP="00893C47">
      <w:pPr>
        <w:spacing w:after="0"/>
      </w:pPr>
      <w:r>
        <w:rPr>
          <w:noProof/>
          <w:lang w:eastAsia="hr-HR"/>
        </w:rPr>
        <w:drawing>
          <wp:inline distT="0" distB="0" distL="0" distR="0">
            <wp:extent cx="5762625" cy="3295650"/>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srcRect/>
                    <a:stretch>
                      <a:fillRect/>
                    </a:stretch>
                  </pic:blipFill>
                  <pic:spPr bwMode="auto">
                    <a:xfrm>
                      <a:off x="0" y="0"/>
                      <a:ext cx="5762625" cy="3295650"/>
                    </a:xfrm>
                    <a:prstGeom prst="rect">
                      <a:avLst/>
                    </a:prstGeom>
                    <a:noFill/>
                    <a:ln w="9525">
                      <a:noFill/>
                      <a:miter lim="800000"/>
                      <a:headEnd/>
                      <a:tailEnd/>
                    </a:ln>
                  </pic:spPr>
                </pic:pic>
              </a:graphicData>
            </a:graphic>
          </wp:inline>
        </w:drawing>
      </w:r>
    </w:p>
    <w:p w:rsidR="001646BE" w:rsidRPr="00B6113A" w:rsidRDefault="001646BE" w:rsidP="00893C47">
      <w:pPr>
        <w:spacing w:after="0"/>
        <w:ind w:firstLine="360"/>
        <w:rPr>
          <w:b/>
          <w:bCs/>
        </w:rPr>
      </w:pPr>
      <w:r w:rsidRPr="00B6113A">
        <w:rPr>
          <w:b/>
          <w:bCs/>
          <w:sz w:val="20"/>
          <w:szCs w:val="20"/>
        </w:rPr>
        <w:t>Grafiko</w:t>
      </w:r>
      <w:r>
        <w:rPr>
          <w:b/>
          <w:bCs/>
          <w:sz w:val="20"/>
          <w:szCs w:val="20"/>
        </w:rPr>
        <w:t xml:space="preserve">n 22: </w:t>
      </w:r>
      <w:r w:rsidRPr="00B6113A">
        <w:rPr>
          <w:b/>
          <w:bCs/>
          <w:sz w:val="20"/>
          <w:szCs w:val="20"/>
        </w:rPr>
        <w:t>trend kretanja ATFM kašnjenja i kontroliranih sati leta po FAB-ovima</w:t>
      </w:r>
      <w:r w:rsidRPr="00B6113A">
        <w:rPr>
          <w:b/>
          <w:bCs/>
        </w:rPr>
        <w:t>.</w:t>
      </w:r>
    </w:p>
    <w:p w:rsidR="001646BE" w:rsidRDefault="001646BE" w:rsidP="00893C47">
      <w:pPr>
        <w:spacing w:after="0"/>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ind w:left="360"/>
        <w:rPr>
          <w:sz w:val="20"/>
          <w:szCs w:val="20"/>
        </w:rPr>
      </w:pPr>
    </w:p>
    <w:p w:rsidR="001646BE" w:rsidRDefault="001646BE" w:rsidP="00893C47">
      <w:pPr>
        <w:ind w:firstLine="360"/>
      </w:pPr>
      <w:r>
        <w:t xml:space="preserve">Horizontalna ekstenzija rute, pojedinog leta, jest razlika između stvarne duljine pojedinog leta zrakoplova i duljine leta po velikoj kružnici (ortodromi). Javlja se zbog manjka kapaciteta, optimizacije vertikalnih kretnji, radi smanjenja gustoće prometa i smanjenja mogućih konflikata u određenim kritičnim područjima. Prema provedenim analizama, glavnina devijacija na ruti rezultat je rutiranja unutar pojedine zemlje (64% devijacija), znatan </w:t>
      </w:r>
      <w:r>
        <w:lastRenderedPageBreak/>
        <w:t xml:space="preserve">postotak devijacija na ruti rezultat je sučeljavanja između FAB-ova (25% devijacija), što implicira da je potrebno rješenje na europskoj razini, te se manji dio devijacija na ruti javlja kao posljedica sučeljavanja zemalja članica unutar pojedinog FAB-a (11% devijacija). Ustrojem FAB-a trebao bi se riješiti problem devijacija na ruti unutar zemalja članica FAB-a (64% devijacija) kao i problem devijacija na ruti između zemalja članica FAB-a (11% devijacija). Grafikon 23 prikazuje prosječne vrijednosti horizontalne ekstenzije ruta po FAB-ovima. </w:t>
      </w:r>
    </w:p>
    <w:p w:rsidR="001646BE" w:rsidRDefault="00E02CBE" w:rsidP="00893C47">
      <w:pPr>
        <w:spacing w:after="0"/>
        <w:ind w:firstLine="360"/>
      </w:pPr>
      <w:r>
        <w:rPr>
          <w:noProof/>
          <w:lang w:eastAsia="hr-HR"/>
        </w:rPr>
        <w:drawing>
          <wp:inline distT="0" distB="0" distL="0" distR="0">
            <wp:extent cx="3943350" cy="2695575"/>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srcRect/>
                    <a:stretch>
                      <a:fillRect/>
                    </a:stretch>
                  </pic:blipFill>
                  <pic:spPr bwMode="auto">
                    <a:xfrm>
                      <a:off x="0" y="0"/>
                      <a:ext cx="3943350" cy="2695575"/>
                    </a:xfrm>
                    <a:prstGeom prst="rect">
                      <a:avLst/>
                    </a:prstGeom>
                    <a:noFill/>
                    <a:ln w="9525">
                      <a:noFill/>
                      <a:miter lim="800000"/>
                      <a:headEnd/>
                      <a:tailEnd/>
                    </a:ln>
                  </pic:spPr>
                </pic:pic>
              </a:graphicData>
            </a:graphic>
          </wp:inline>
        </w:drawing>
      </w:r>
    </w:p>
    <w:p w:rsidR="001646BE" w:rsidRDefault="001646BE" w:rsidP="00893C47">
      <w:pPr>
        <w:spacing w:after="0"/>
        <w:ind w:firstLine="360"/>
        <w:rPr>
          <w:sz w:val="20"/>
          <w:szCs w:val="20"/>
        </w:rPr>
      </w:pPr>
      <w:r>
        <w:rPr>
          <w:b/>
          <w:bCs/>
          <w:sz w:val="20"/>
          <w:szCs w:val="20"/>
        </w:rPr>
        <w:t>Grafikon 23:</w:t>
      </w:r>
      <w:r w:rsidRPr="00B67BB3">
        <w:rPr>
          <w:b/>
          <w:bCs/>
          <w:sz w:val="20"/>
          <w:szCs w:val="20"/>
        </w:rPr>
        <w:t xml:space="preserve"> prosječna horizontalna ekstenzija ruta po FAB-ovima</w:t>
      </w:r>
      <w:r w:rsidRPr="007623D8">
        <w:rPr>
          <w:sz w:val="20"/>
          <w:szCs w:val="20"/>
        </w:rPr>
        <w:t>.</w:t>
      </w:r>
    </w:p>
    <w:p w:rsidR="001646BE" w:rsidRDefault="001646BE" w:rsidP="00893C47">
      <w:pPr>
        <w:spacing w:after="0"/>
        <w:ind w:left="360"/>
        <w:rPr>
          <w:sz w:val="20"/>
          <w:szCs w:val="20"/>
        </w:rPr>
      </w:pPr>
      <w:r>
        <w:rPr>
          <w:sz w:val="20"/>
          <w:szCs w:val="20"/>
        </w:rPr>
        <w:t>Izvor: Performance Review Commision: “Evaluation of FAB initiatives and their contribution to performance improvement“, Eurocontrol 2008.</w:t>
      </w:r>
    </w:p>
    <w:p w:rsidR="001646BE" w:rsidRDefault="001646BE" w:rsidP="00893C47">
      <w:pPr>
        <w:spacing w:after="0" w:line="240" w:lineRule="auto"/>
        <w:ind w:left="360"/>
        <w:rPr>
          <w:sz w:val="20"/>
          <w:szCs w:val="20"/>
        </w:rPr>
      </w:pPr>
    </w:p>
    <w:p w:rsidR="001646BE" w:rsidRDefault="001646BE" w:rsidP="00DD7EA8">
      <w:pPr>
        <w:ind w:firstLine="360"/>
      </w:pPr>
      <w:r>
        <w:t>Iz grafikona 23 očitava se da prosječna horizontalna ekstenzija ruta za FAB-ove iznosi 4%. Najveća ekstenzija ruta javlja se u FAB-u EC, Blue Med i UK-IR (gdje se mogu primjetiti i veliki udjeli devijacije na rutama unutar zemalja članica FAB-a), dok je najmanja ekstenzija ruta u FAB-ovima NUAC i NEFAB. Najveći postotci ekstenzija ruta javljaju se u najprometnijim i najzagušenijim FAB-ovima. Devijacije na rutama, zbog sučeljavanja između FAB-ova, moguće je riješiti tek na europskoj razini.</w:t>
      </w:r>
      <w:r w:rsidRPr="00CA7D9B">
        <w:t xml:space="preserve"> </w:t>
      </w:r>
    </w:p>
    <w:p w:rsidR="001646BE" w:rsidRDefault="001646BE" w:rsidP="00893C47">
      <w:pPr>
        <w:spacing w:after="0"/>
        <w:ind w:firstLine="360"/>
      </w:pPr>
      <w:r>
        <w:t xml:space="preserve">Civilno-vojna suradnja u pojedinim FAB-ovima uvelike ovisi o veličini vojne flote određenog FAB-a, te o površini samog FAB-a tj. o površini FAB-a koju pokriva jedan borbeni zrakoplov. Najkompleksnija situacija javlja se u FAB-u EC gdje je ukupna flota od 1053 borbenih zrakoplova, što znači da jedan borbeni zrakoplov „pokriva“ površinu od 1724 km². Naprotiv, u FAB-u SW Portugal - Spain (gdje je ukupno 201 borbeni zrakoplov), jedan borbeni zrakoplov pokriva površinu od 39 597 km². Velika gustoća borbenih zrakoplova u </w:t>
      </w:r>
      <w:r>
        <w:lastRenderedPageBreak/>
        <w:t xml:space="preserve">odnosu na površinu javlja se i u FAB-ovima Blue Med i Danube što znači da je tamo izrazito važno ostvariti efikasnu civilno-vojnu koordinaciju. U pogledu FUA koncepta definirane su tri faze: </w:t>
      </w:r>
    </w:p>
    <w:p w:rsidR="001646BE" w:rsidRDefault="001646BE" w:rsidP="00B95840">
      <w:pPr>
        <w:pStyle w:val="ListParagraph"/>
        <w:numPr>
          <w:ilvl w:val="0"/>
          <w:numId w:val="23"/>
        </w:numPr>
        <w:spacing w:after="0"/>
      </w:pPr>
      <w:r>
        <w:t>faza strateškog upravljanja zračnim prostorom,</w:t>
      </w:r>
    </w:p>
    <w:p w:rsidR="001646BE" w:rsidRDefault="001646BE" w:rsidP="00B95840">
      <w:pPr>
        <w:pStyle w:val="ListParagraph"/>
        <w:numPr>
          <w:ilvl w:val="0"/>
          <w:numId w:val="23"/>
        </w:numPr>
        <w:spacing w:after="0"/>
      </w:pPr>
      <w:r>
        <w:t>faza pred taktičkog upravljanja zračnim prostorom,</w:t>
      </w:r>
    </w:p>
    <w:p w:rsidR="001646BE" w:rsidRDefault="001646BE" w:rsidP="00B95840">
      <w:pPr>
        <w:pStyle w:val="ListParagraph"/>
        <w:numPr>
          <w:ilvl w:val="0"/>
          <w:numId w:val="23"/>
        </w:numPr>
      </w:pPr>
      <w:r>
        <w:t>faza taktičkog upravljanja zračnim prostorom.</w:t>
      </w:r>
    </w:p>
    <w:p w:rsidR="001646BE" w:rsidRDefault="001646BE" w:rsidP="00B95840">
      <w:pPr>
        <w:spacing w:after="0"/>
        <w:ind w:firstLine="360"/>
      </w:pPr>
      <w:r>
        <w:t>Prema donesenim planovima implementacije, harmonizacija FUA koncepta trebala bi se ostvariti uglavnom u svim FAB-ovima do 2015. godine. Inicijativa NUAC predviđa završetak kompletne harmonizacije do 2011. godine, dok se u FAB-u Blue Med završetak očekuje tek 2015. godine. Ostali FAB-ovi odredili su 2012.-2013. godinu kao cilj uvođenja sve tri faze FUA koncepta [</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pStyle w:val="Heading2"/>
        <w:ind w:left="705" w:hanging="705"/>
      </w:pPr>
      <w:bookmarkStart w:id="35" w:name="_Toc296339024"/>
      <w:r>
        <w:lastRenderedPageBreak/>
        <w:t>3.4</w:t>
      </w:r>
      <w:r>
        <w:tab/>
        <w:t>ETIOLOGIJA IMPLEMENTACIJE PROGRAMA JEDINSTVENOG EUROPSKOG NEBA U ZEMLJAMA JUGOISTOČNE EUROPE</w:t>
      </w:r>
      <w:bookmarkEnd w:id="35"/>
    </w:p>
    <w:p w:rsidR="001646BE" w:rsidRDefault="001646BE" w:rsidP="00893C47"/>
    <w:p w:rsidR="001646BE" w:rsidRDefault="001646BE" w:rsidP="00893C47">
      <w:pPr>
        <w:spacing w:after="0"/>
        <w:ind w:firstLine="360"/>
      </w:pPr>
      <w:r>
        <w:t>Na području jugoistočne Europe, implementacija SES programa u poslijednjih desetak godina provodila se kroz tri projekta:</w:t>
      </w:r>
    </w:p>
    <w:p w:rsidR="001646BE" w:rsidRDefault="001646BE" w:rsidP="00893C47">
      <w:pPr>
        <w:pStyle w:val="ListParagraph"/>
        <w:numPr>
          <w:ilvl w:val="0"/>
          <w:numId w:val="24"/>
        </w:numPr>
        <w:spacing w:after="0"/>
      </w:pPr>
      <w:r>
        <w:t>CEATS</w:t>
      </w:r>
    </w:p>
    <w:p w:rsidR="001646BE" w:rsidRDefault="001646BE" w:rsidP="00893C47">
      <w:pPr>
        <w:pStyle w:val="ListParagraph"/>
        <w:numPr>
          <w:ilvl w:val="0"/>
          <w:numId w:val="24"/>
        </w:numPr>
        <w:spacing w:after="0"/>
      </w:pPr>
      <w:r>
        <w:t>SEE FABA</w:t>
      </w:r>
    </w:p>
    <w:p w:rsidR="001646BE" w:rsidRDefault="001646BE" w:rsidP="00893C47">
      <w:pPr>
        <w:pStyle w:val="ListParagraph"/>
        <w:numPr>
          <w:ilvl w:val="0"/>
          <w:numId w:val="24"/>
        </w:numPr>
      </w:pPr>
      <w:r>
        <w:t>ISIS</w:t>
      </w:r>
    </w:p>
    <w:p w:rsidR="001646BE" w:rsidRDefault="001646BE" w:rsidP="00893C47">
      <w:pPr>
        <w:ind w:firstLine="360"/>
      </w:pPr>
      <w:r>
        <w:t xml:space="preserve">Razvojem događaja u posljednjem desetljeću, socijalno-društvenim previranjima, kompleksnom političkom situacijom na području jugoistočne Europe, te strategijom EU po pitanju implementacije SES programa, došlo je do postupnog odbacivanja najprije programa CEATS, a kasnije i do odbacivanja programa SEE FABA. </w:t>
      </w:r>
    </w:p>
    <w:p w:rsidR="001646BE" w:rsidRDefault="001646BE" w:rsidP="00893C47">
      <w:pPr>
        <w:ind w:firstLine="360"/>
      </w:pPr>
      <w:r>
        <w:t xml:space="preserve">Najnovija inicijativa koja bi trebala implementirati SES program u zemljama jugoistočne Europe jest program ISIS. Također, osim ISIS inicijative, u nekim zemljama jugoistočne Europe, implementacija SES programa provodi se kroz uspostavu ukupno devet FAB-ova. Zemlje članice programa ISIS su Albanija, BiH, Crna Gora, Hrvatska, Bugarska, Rumunjska, Srbija, Makedonija i Kosovo. </w:t>
      </w:r>
    </w:p>
    <w:p w:rsidR="001646BE" w:rsidRDefault="001646BE" w:rsidP="00893C47">
      <w:pPr>
        <w:ind w:firstLine="360"/>
      </w:pPr>
      <w:r>
        <w:t xml:space="preserve">Implementacija SES programa u zemljama jugoistočne Europe provodit će se i preko FAB-a CE (Hrvatska i BiH), te preko FAB-a Danube (Bugarska i Rumunjska), dok će ostale zemlje jugoistočne Europe SES program i legislativu implementirati prvenstveno putem ISIS programa. </w:t>
      </w:r>
    </w:p>
    <w:p w:rsidR="001646BE" w:rsidRDefault="001646BE" w:rsidP="00893C47">
      <w:pPr>
        <w:ind w:firstLine="360"/>
      </w:pPr>
    </w:p>
    <w:p w:rsidR="001646BE" w:rsidRDefault="001646BE" w:rsidP="00893C47">
      <w:pPr>
        <w:ind w:firstLine="360"/>
      </w:pPr>
    </w:p>
    <w:p w:rsidR="001646BE" w:rsidRDefault="001646BE" w:rsidP="00893C47"/>
    <w:p w:rsidR="001646BE" w:rsidRDefault="001646BE" w:rsidP="00893C47">
      <w:pPr>
        <w:ind w:firstLine="360"/>
      </w:pPr>
    </w:p>
    <w:p w:rsidR="001646BE" w:rsidRDefault="001646BE" w:rsidP="00893C47">
      <w:pPr>
        <w:pStyle w:val="Heading3"/>
        <w:ind w:left="705" w:hanging="705"/>
      </w:pPr>
      <w:bookmarkStart w:id="36" w:name="_Toc296339025"/>
      <w:r>
        <w:lastRenderedPageBreak/>
        <w:t>3.4.1</w:t>
      </w:r>
      <w:r>
        <w:tab/>
        <w:t>SREDNJOEUROPSKI CENTAR ZA PRUŽANJE USLUGA U ZRAČNOJ PLOVIDBI (CEATS)</w:t>
      </w:r>
      <w:bookmarkEnd w:id="36"/>
    </w:p>
    <w:p w:rsidR="001646BE" w:rsidRDefault="001646BE" w:rsidP="00893C47"/>
    <w:p w:rsidR="001646BE" w:rsidRDefault="001646BE" w:rsidP="00893C47">
      <w:pPr>
        <w:ind w:firstLine="360"/>
      </w:pPr>
      <w:r>
        <w:t>Srednjoeuropski centar za pružanje usluga u zračnoj plovidbi ili CEATS, uspostavljen je kao rješenje koje je trebalo riješiti problem kontinuiranog rasta zračnog prometa iznad srednje Europe. Program je osmišljen početkom 90-ih godina prošlog stoljeća, te je okupljao osam zemalja članica (Austrija, BiH, Hrvatska, Češka, Mađarska, Slovačka, Slovenija i dio Italije). Eurocontrol, kao pokretač i organizator projekta, namjeravao je uspostaviti jedinstveno tijelo kontrole zračnog prometa slično MUAC-u koje će efikasno kontrolirati gornji zračni prostor regije srednje Europe.</w:t>
      </w:r>
    </w:p>
    <w:p w:rsidR="001646BE" w:rsidRDefault="001646BE" w:rsidP="00893C47">
      <w:pPr>
        <w:ind w:firstLine="360"/>
      </w:pPr>
      <w:r>
        <w:t xml:space="preserve">Navedeni prostor srednje Europe posebice je problematičan zbog velikog broja ANSP-a na maloj površini, stoga je unifikacija zračnog prostora logično rješenje problema zagušenja, koje se javlja s porastom zračnog prometa. </w:t>
      </w:r>
    </w:p>
    <w:p w:rsidR="001646BE" w:rsidRDefault="001646BE" w:rsidP="00893C47">
      <w:pPr>
        <w:spacing w:after="0"/>
        <w:ind w:firstLine="360"/>
      </w:pPr>
      <w:r>
        <w:t>Ciljevi CEATS programa bili su sljedeći:</w:t>
      </w:r>
    </w:p>
    <w:p w:rsidR="001646BE" w:rsidRDefault="001646BE" w:rsidP="00B95840">
      <w:pPr>
        <w:pStyle w:val="ListParagraph"/>
        <w:numPr>
          <w:ilvl w:val="0"/>
          <w:numId w:val="25"/>
        </w:numPr>
        <w:spacing w:after="0"/>
      </w:pPr>
      <w:r>
        <w:t>održavanje i ukoliko je moguće povećanje razine sigurnosti,</w:t>
      </w:r>
    </w:p>
    <w:p w:rsidR="001646BE" w:rsidRDefault="001646BE" w:rsidP="00B95840">
      <w:pPr>
        <w:pStyle w:val="ListParagraph"/>
        <w:numPr>
          <w:ilvl w:val="0"/>
          <w:numId w:val="25"/>
        </w:numPr>
        <w:spacing w:after="0"/>
      </w:pPr>
      <w:r>
        <w:t>povećanje kapaciteta zračnog prostora,</w:t>
      </w:r>
    </w:p>
    <w:p w:rsidR="001646BE" w:rsidRDefault="001646BE" w:rsidP="00B95840">
      <w:pPr>
        <w:pStyle w:val="ListParagraph"/>
        <w:numPr>
          <w:ilvl w:val="0"/>
          <w:numId w:val="25"/>
        </w:numPr>
        <w:spacing w:after="0"/>
      </w:pPr>
      <w:r>
        <w:t>olakšanje integracije zemalja članica CEATS programa u europski ATM sustav,</w:t>
      </w:r>
    </w:p>
    <w:p w:rsidR="001646BE" w:rsidRDefault="001646BE" w:rsidP="00B95840">
      <w:pPr>
        <w:pStyle w:val="ListParagraph"/>
        <w:numPr>
          <w:ilvl w:val="0"/>
          <w:numId w:val="25"/>
        </w:numPr>
        <w:spacing w:after="0"/>
      </w:pPr>
      <w:r>
        <w:t>poboljšanje učinkovitosti letnih operacija,</w:t>
      </w:r>
    </w:p>
    <w:p w:rsidR="001646BE" w:rsidRDefault="001646BE" w:rsidP="00B95840">
      <w:pPr>
        <w:pStyle w:val="ListParagraph"/>
        <w:numPr>
          <w:ilvl w:val="0"/>
          <w:numId w:val="25"/>
        </w:numPr>
      </w:pPr>
      <w:r>
        <w:t>suradnja s vojnim organima [19].</w:t>
      </w:r>
    </w:p>
    <w:p w:rsidR="001646BE" w:rsidRDefault="001646BE" w:rsidP="00B95840">
      <w:pPr>
        <w:spacing w:after="0"/>
        <w:ind w:firstLine="360"/>
      </w:pPr>
      <w:r>
        <w:t xml:space="preserve">Sporazum o suradnji između Eurocontrola i zemalja članica potpisan je 1997. godine, osim BiH-a koja je sporazum potpisala 2001. godine. U lipnju 2005. Austrija, BiH, Hrvatska, Mađarska i Slovačka potpisale su rezoluciju o uspostavi sjedišta CEATS-a u Beču, međutim navedenu rezoluciju nisu potpisale Češka, Slovenija i Italija. Također, pojedine zemlje članice programa nisu ratificirale potrebne ugovore, te se CEATS program ubrzo ugasio, a naslijedio ga je program SEE FABA. </w:t>
      </w: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ind w:firstLine="360"/>
      </w:pPr>
    </w:p>
    <w:p w:rsidR="001646BE" w:rsidRDefault="001646BE" w:rsidP="00893C47">
      <w:pPr>
        <w:pStyle w:val="Heading3"/>
        <w:ind w:left="705" w:hanging="705"/>
      </w:pPr>
      <w:bookmarkStart w:id="37" w:name="_Toc296339026"/>
      <w:r>
        <w:lastRenderedPageBreak/>
        <w:t>3.4.2</w:t>
      </w:r>
      <w:r>
        <w:tab/>
        <w:t>FUNKCIONALNI BLOK ZRAČNOG PROSTORA JUGOISTOČNE EUROPE (SEE FABA)</w:t>
      </w:r>
      <w:bookmarkEnd w:id="37"/>
    </w:p>
    <w:p w:rsidR="001646BE" w:rsidRDefault="001646BE" w:rsidP="00893C47">
      <w:pPr>
        <w:ind w:firstLine="360"/>
      </w:pPr>
    </w:p>
    <w:p w:rsidR="001646BE" w:rsidRDefault="001646BE" w:rsidP="00893C47">
      <w:pPr>
        <w:ind w:firstLine="360"/>
      </w:pPr>
      <w:r>
        <w:t xml:space="preserve">Pristup stvaranju funkcionalnog bloka zračnog prostora jugoistočne Europe započet je u travnju 2005. godine kada je odlučeno razmotriti mogućnost i prednosti stvaranja FAB-a na području jugoistočne Europe. Zemlje članice SEE FABA bile su Albanija, BiH, Bugarska, Hrvatska, Rumunjska, Srbija i Crna Gora, Makedonija i područje Kosova. </w:t>
      </w:r>
    </w:p>
    <w:p w:rsidR="001646BE" w:rsidRDefault="001646BE" w:rsidP="00893C47">
      <w:pPr>
        <w:ind w:firstLine="360"/>
      </w:pPr>
      <w:r>
        <w:t>Situacija u jugoistočnoj Europi, što se tiče zračnog prometa, analogna je situaciji koja se javlja i u ostatku Europe, dakle povećanjem zračnog prometa javlja se sve veća potreba za integracijom fragmentiranog ATM sustava kako bi se ostvario potreban kapacitet zračnog prostora, optimizirala troškovna efikasnost i povećala fleksibilnost. Na području jugoistočne Europe u razdoblju od 2001. - 2005. godine porast zračnog prometa iznosio je 121%, dok je situacija na Kosovu dodatno otežavala normalno odvijanje prometa u regiji. Uspostavom FAB-a na području jugoistočne Europe osiguralo bi se proširivanje SES programa i na zemlje u dotičnoj regiji, čime se znatno doprinijelo cjelokupnom projektu.</w:t>
      </w:r>
    </w:p>
    <w:p w:rsidR="001646BE" w:rsidRDefault="001646BE" w:rsidP="00893C47">
      <w:pPr>
        <w:ind w:firstLine="360"/>
      </w:pPr>
      <w:r>
        <w:t xml:space="preserve">  U trenutku začetka ideje SEE FABA, Hrvatska i BiH bile su dio CEATS programa, dok su Bugarska i Rumunjska bile uključene u BUL-ROM inicijativu (kasnije FAB Danube). Funkcionalni blok zračnog prostora jugoistočne Europe trebao se uspostaviti kroz tri faze: faza izrade studija, faza definiranja projekta i implementacijske faze. </w:t>
      </w:r>
    </w:p>
    <w:p w:rsidR="001646BE" w:rsidRDefault="001646BE" w:rsidP="00893C47">
      <w:pPr>
        <w:ind w:firstLine="360"/>
      </w:pPr>
      <w:r>
        <w:t xml:space="preserve">Odlučeno je da će se prilikom ustroja poštivati svi ostali regionalni sporazumi (CEATS, BUL-ROM i sl.), da će se koristiti postojeća infrastruktura i poštivati nacionalni interesi zemalja članica. Uspostava FAB-a delegirana je u nadležnost zemalja članica dok bi ANSP-i trebali imati vodeću ulogu u razvoju i implementaciji. </w:t>
      </w:r>
    </w:p>
    <w:p w:rsidR="001646BE" w:rsidRDefault="001646BE" w:rsidP="00893C47">
      <w:pPr>
        <w:ind w:firstLine="360"/>
      </w:pPr>
      <w:r>
        <w:t xml:space="preserve">S obzirom da je uspostava FAB-a jugoistočne Europe ostavljena u nadležnost zemalja članica, te ukoliko se uzme u obzir komplicirana politička situacija u regiji, kao i velik broj sličnih inicijativa u kojima sudjeluju zemlje članice SEE FABA inicijative, očito je da je uspostava navedenog projekta bila znatno otežana. </w:t>
      </w:r>
    </w:p>
    <w:p w:rsidR="001646BE" w:rsidRDefault="001646BE" w:rsidP="00893C47">
      <w:pPr>
        <w:ind w:firstLine="360"/>
      </w:pPr>
      <w:r>
        <w:t>Projekt SEE FABA je naposljetku napušten, te ga je naslijedila ISIS inicijativa koja ima za cilj provesti implementaciju SES programa, ali bez ustrojavanja novog FAB-a [20].</w:t>
      </w:r>
    </w:p>
    <w:p w:rsidR="001646BE" w:rsidRDefault="001646BE" w:rsidP="00893C47">
      <w:pPr>
        <w:pStyle w:val="Heading3"/>
        <w:ind w:left="705" w:hanging="705"/>
      </w:pPr>
      <w:bookmarkStart w:id="38" w:name="_Toc296339027"/>
      <w:r>
        <w:lastRenderedPageBreak/>
        <w:t>3.4.3</w:t>
      </w:r>
      <w:r>
        <w:tab/>
        <w:t>IMPLEMENTACIJA PROGRAMA „JEDINSTVENO EUROPSKO NEBO“ U JUGOISTOČNOJ EUROPI (ISIS)</w:t>
      </w:r>
      <w:bookmarkEnd w:id="38"/>
    </w:p>
    <w:p w:rsidR="001646BE" w:rsidRDefault="001646BE" w:rsidP="00893C47"/>
    <w:p w:rsidR="001646BE" w:rsidRDefault="001646BE" w:rsidP="00893C47">
      <w:pPr>
        <w:ind w:firstLine="360"/>
      </w:pPr>
      <w:r>
        <w:t xml:space="preserve">Implementacija SES programa u jugoistočnoj Europi pokušala se provesti uspostavom FAB-a jugoistočne Europe (SEE FABA), međutim projekt je propao, stoga je usvojen projekt ISIS kako bi se SES legislativa ipak proširila i na zemlje jugoistočne Europe.  </w:t>
      </w:r>
    </w:p>
    <w:p w:rsidR="001646BE" w:rsidRDefault="001646BE" w:rsidP="00893C47">
      <w:pPr>
        <w:ind w:firstLine="360"/>
      </w:pPr>
      <w:r>
        <w:t xml:space="preserve">Jugoistočna Europa je strateški važno područje za efikasan protok zračnog prometa između Europe i jugoistočnih pravaca, stoga je izrazito važno osigurati model po kojem će zemlje navedene regije biti ravnopravno uključene u europsku rutnu mrežu po najvišim standardima. </w:t>
      </w:r>
    </w:p>
    <w:p w:rsidR="001646BE" w:rsidRDefault="001646BE" w:rsidP="00893C47">
      <w:pPr>
        <w:ind w:firstLine="360"/>
      </w:pPr>
      <w:r>
        <w:t xml:space="preserve">Program ISIS nema za cilj ustroj FAB-a, već pruža potporu i pomoć prilikom implementacije SES regulative u nacionalne zakone zemalja u regiji jugoistočne Europe. Program ISIS pruža relevantnim nacionalnim tijelima svu potrebnu pomoć, kako bi se što bolje implementirala SES regulativa u strukture nacionalnih organa odgovornih za zračni promet. Očekuje se postizanje jednakih standarda u pogledu sigurnosti na području cijele Europe ukoliko se prihvati EU legislativa o upravljanju zračnim prometom. Ispunjavanjem zahtjeva SES regulative, zemlje jugoistočne regije približavaju se integriranom europskom sustavu upravljanja zračnim prometom. </w:t>
      </w:r>
    </w:p>
    <w:p w:rsidR="001646BE" w:rsidRDefault="001646BE" w:rsidP="00893C47">
      <w:pPr>
        <w:ind w:firstLine="360"/>
      </w:pPr>
      <w:r>
        <w:t xml:space="preserve">Program ISIS je također i pokretač bliske unutarnje suradnje između zemalja jugoistočne regije, s obzirom da se njegovom implementacijom osjetno ujednačava </w:t>
      </w:r>
      <w:r w:rsidR="004346EF">
        <w:t>regulativna</w:t>
      </w:r>
      <w:r>
        <w:t>, legislativna, ali i proceduralna struktura u sustavima upravljanja zračnim prometom. Ujednačeni okvir i standardizacija, te implementacija jedinstvenog SES programa, može olakšati buduću suradnju te posredno utjecati na uspostavu struktura sličnih FAB-u, čime bi se dodatno poboljšalo stanje u jugoistočnoj regiji. Zemlje jugoistočne Europe (Albanija, BiH, Bugarska, Hrvatska, Crna Gora, Rumunjska, Srbija, Makedonija i Kosovo) potpisale su sporazum o prihvaćanju ISIS-a sredinom 2008. Godine, te su dogovorile implementaciju programa ISIS u nekoliko faza s naglaskom na prihvaćanje SES legislative, uspostavom legislative za licenciranje i obuku, te formiranjem NSA-a. U program će se uključiti svi relevantni subjekti (vojni organi, korisnici zračnog prostora, ANSP-i i sl.)</w:t>
      </w:r>
      <w:r w:rsidRPr="007551A8">
        <w:t xml:space="preserve"> </w:t>
      </w:r>
      <w:r>
        <w:t>[21] [22].</w:t>
      </w:r>
    </w:p>
    <w:p w:rsidR="001646BE" w:rsidRDefault="001646BE" w:rsidP="00893C47"/>
    <w:p w:rsidR="001646BE" w:rsidRDefault="001646BE" w:rsidP="002F6105">
      <w:pPr>
        <w:pStyle w:val="Heading1"/>
        <w:numPr>
          <w:ilvl w:val="0"/>
          <w:numId w:val="0"/>
        </w:numPr>
        <w:ind w:left="360" w:hanging="360"/>
      </w:pPr>
      <w:bookmarkStart w:id="39" w:name="_Toc296339028"/>
      <w:r>
        <w:lastRenderedPageBreak/>
        <w:t>4</w:t>
      </w:r>
      <w:r>
        <w:tab/>
        <w:t>STRATEŠKO POZICIONIRANJE HRVATSKE U REGIJI SREDNJE EUROPE</w:t>
      </w:r>
      <w:bookmarkEnd w:id="39"/>
    </w:p>
    <w:p w:rsidR="001646BE" w:rsidRDefault="001646BE" w:rsidP="00996053"/>
    <w:p w:rsidR="001646BE" w:rsidRDefault="001646BE" w:rsidP="00996053">
      <w:pPr>
        <w:ind w:firstLine="360"/>
      </w:pPr>
      <w:r>
        <w:t>Strateško pozicioniranje Hrvatske u sustavu upravljanja zračnim prometom srednje Europe ostvarit će se njenim sudjelovanje u funkcionalnom bloku zračnog prostora Central Europe. Posljednjih desetak godina Hrvatska je bila sudionica sličnih inicijativa poput CEATS-a i SEE FABA-e, koji su imali za cilj optimizirati zračni prostor i upravljanje zračnim prometom u regiji srednje Europe uspostavom FAB-a ili bliskom suradnjom ANSP-a zemalja srednje Europe. Participacijom u navedenim inicijativama, Hrvatska se odredila kao važan čimbenik efikasnog odvijanja zračnog prometa u regiji srednje Europe.</w:t>
      </w:r>
    </w:p>
    <w:p w:rsidR="001646BE" w:rsidRDefault="001646BE" w:rsidP="00996053">
      <w:pPr>
        <w:ind w:firstLine="360"/>
      </w:pPr>
      <w:r>
        <w:t xml:space="preserve">Implementacijom i operativnim djelovanjem FAB-a CE koji broji sedam zemalja članica, Hrvatska svoje djelovanje i svoje interese usmjerava prvenstveno prema efikasnom, ekonomičnom i sigurnom operiranju FAB-a CE. Unutar FAB-a CE, koji okuplja zemlje srednje Europe, Hrvatska se treba pozicionirati na način da osigura nastavak što uspješnijeg poslovanja, osigura provođenje mjera za usklađivanje sa zahtjevima FAB-a CE, osigura razvoj i poboljšanja ATM sustava, osigura usklađivanje sa SES regulativom, te što bolje iskoristi svoj geoprometni položaj unutar FAB-a. </w:t>
      </w:r>
    </w:p>
    <w:p w:rsidR="001646BE" w:rsidRDefault="001646BE" w:rsidP="00996053">
      <w:pPr>
        <w:ind w:firstLine="360"/>
      </w:pPr>
      <w:r>
        <w:t xml:space="preserve">Strateško pozicioniranje Hrvatske u regiji srednje Europe ovisi o položaju Hrvatske u FAB-u CE, stoga je bitno u fazi implementacije FAB-a nacionalne planove uključiti u implementacijske planove ustroja FAB-a. Donosioci odluka prilikom implementacije FAB-a CE su prvenstveno ministri sedam zemalja članica zaduženi za resor zračnog prometa, civilna i vojna tijela zrakoplovnih vlasti zajedno sa </w:t>
      </w:r>
      <w:r w:rsidR="004346EF">
        <w:t>regulativni</w:t>
      </w:r>
      <w:r>
        <w:t>m tijelima zemalja članica, te ANSP-i zemalja članica. Također, zemlje članice nominirale su predstavnike koji sačinjavaju šest radnih grupa (operativnost, tehnika, financije, ljudski potencijali, institucionalnost i sigurnost) zaduženih za pomoć pri implementaciji FAB-a.</w:t>
      </w:r>
    </w:p>
    <w:p w:rsidR="001646BE" w:rsidRDefault="001646BE" w:rsidP="00996053">
      <w:pPr>
        <w:ind w:firstLine="360"/>
      </w:pPr>
      <w:r>
        <w:t>Funkcionalni blok zračnog prostora CE sastoji se od sedam zemalja članica - Češka, Mađarska, Austrija, Slovačka, Hrvatska, Slovenija i BiH, te su razvijena tri scenarija operativnog djelovanja: inicijalni scenarij, scenarij statičkog područja odgovornosti i scenarij dinamičkog područja odgovornosti.</w:t>
      </w:r>
    </w:p>
    <w:p w:rsidR="001646BE" w:rsidRDefault="001646BE" w:rsidP="002F6105">
      <w:pPr>
        <w:pStyle w:val="Heading2"/>
        <w:ind w:left="705" w:hanging="705"/>
      </w:pPr>
      <w:bookmarkStart w:id="40" w:name="_Toc296339029"/>
      <w:r>
        <w:lastRenderedPageBreak/>
        <w:t>4.1</w:t>
      </w:r>
      <w:r>
        <w:tab/>
        <w:t>SVRHA FUNKCIONALNOG BLOKA ZRAČNOG PROSTORA SREDNJE EUROPE</w:t>
      </w:r>
      <w:bookmarkEnd w:id="40"/>
    </w:p>
    <w:p w:rsidR="001646BE" w:rsidRDefault="001646BE" w:rsidP="00595BB8"/>
    <w:p w:rsidR="001646BE" w:rsidRDefault="001646BE" w:rsidP="00D43AD2">
      <w:pPr>
        <w:spacing w:after="0"/>
      </w:pPr>
      <w:r>
        <w:t xml:space="preserve">Glavni ciljevi uspostave FAB-a CE su sljedeći: </w:t>
      </w:r>
    </w:p>
    <w:p w:rsidR="001646BE" w:rsidRDefault="001646BE" w:rsidP="00B95840">
      <w:pPr>
        <w:pStyle w:val="ListParagraph"/>
        <w:numPr>
          <w:ilvl w:val="0"/>
          <w:numId w:val="26"/>
        </w:numPr>
        <w:spacing w:after="0"/>
      </w:pPr>
      <w:r>
        <w:t xml:space="preserve">usklađenost sa SES regulativom, </w:t>
      </w:r>
    </w:p>
    <w:p w:rsidR="001646BE" w:rsidRDefault="001646BE" w:rsidP="00B95840">
      <w:pPr>
        <w:pStyle w:val="ListParagraph"/>
        <w:numPr>
          <w:ilvl w:val="1"/>
          <w:numId w:val="26"/>
        </w:numPr>
        <w:spacing w:after="0"/>
      </w:pPr>
      <w:r>
        <w:t>sigurnosni okvir koji zadržava trenutnu razinu sigurnosti ili bolju,</w:t>
      </w:r>
    </w:p>
    <w:p w:rsidR="001646BE" w:rsidRDefault="001646BE" w:rsidP="00B95840">
      <w:pPr>
        <w:pStyle w:val="ListParagraph"/>
        <w:numPr>
          <w:ilvl w:val="1"/>
          <w:numId w:val="26"/>
        </w:numPr>
        <w:spacing w:after="0"/>
      </w:pPr>
      <w:r>
        <w:t>analiza troškova koja opravdava ustroj,</w:t>
      </w:r>
    </w:p>
    <w:p w:rsidR="001646BE" w:rsidRDefault="001646BE" w:rsidP="00B95840">
      <w:pPr>
        <w:pStyle w:val="ListParagraph"/>
        <w:numPr>
          <w:ilvl w:val="1"/>
          <w:numId w:val="26"/>
        </w:numPr>
        <w:spacing w:after="0"/>
      </w:pPr>
      <w:r>
        <w:t>optimalna primjena zračnog prostora za civilne i vojne korisnike temeljena na operativnim zahtjevima, neovisno o nacionalnim granicama (FUA koncept),</w:t>
      </w:r>
    </w:p>
    <w:p w:rsidR="001646BE" w:rsidRDefault="001646BE" w:rsidP="00B95840">
      <w:pPr>
        <w:pStyle w:val="ListParagraph"/>
        <w:numPr>
          <w:ilvl w:val="0"/>
          <w:numId w:val="26"/>
        </w:numPr>
        <w:spacing w:after="0"/>
      </w:pPr>
      <w:r>
        <w:t>povećanje kapaciteta,</w:t>
      </w:r>
    </w:p>
    <w:p w:rsidR="001646BE" w:rsidRDefault="001646BE" w:rsidP="00B95840">
      <w:pPr>
        <w:pStyle w:val="ListParagraph"/>
        <w:numPr>
          <w:ilvl w:val="0"/>
          <w:numId w:val="26"/>
        </w:numPr>
      </w:pPr>
      <w:r>
        <w:t>poboljšanje troškovne efikasnosti.</w:t>
      </w:r>
    </w:p>
    <w:p w:rsidR="001646BE" w:rsidRDefault="001646BE" w:rsidP="00B95840">
      <w:pPr>
        <w:ind w:firstLine="360"/>
      </w:pPr>
      <w:r>
        <w:t xml:space="preserve">Također, poboljšanja se očekuju osiguranjem potrebnog kapaciteta, optimizacijom dizajna zračnog prostora i sektorizacijom, uvođenjem zajedničkog operativnog koncepta, poboljšanjem kompatibilnosti između donjeg i gornjeg zračnog prostora, optimalnim korištenjem postojeće infrastrukture, koordiniranim planiranjem budućih ulaganja i budućeg razvoja, te poboljšanom civilno - vojnom suradnjom. </w:t>
      </w:r>
    </w:p>
    <w:p w:rsidR="001646BE" w:rsidRDefault="001646BE" w:rsidP="00883E72">
      <w:pPr>
        <w:ind w:firstLine="360"/>
      </w:pPr>
      <w:r>
        <w:t xml:space="preserve">Uspostavom FAB-a treba se osigurati ispunjavanje zahtjeva SES legislative te očuvanje nacionalnih interesa zemalja članica FAB-a. Očekuje se ostvarenje znatnih poboljšanja za korisnike zračnog prostora, te se planira u potpunosti iskoristiti postojeća infrastruktura, dok se pružanje usluga u zračnoj plovidbi povjerava ANSP-ima zemalja članica (slično kao i u programu CEATS). Bliža suradnja između zemalja članica očekuje se zajedničkim aktiviranjem programa SESAR. </w:t>
      </w:r>
    </w:p>
    <w:p w:rsidR="001646BE" w:rsidRDefault="001646BE" w:rsidP="00883E72">
      <w:pPr>
        <w:ind w:firstLine="360"/>
      </w:pPr>
      <w:r>
        <w:t>Opći operativni zahtjev FAB-a CE jest efikasna operativnost između sedam nacionalnih ATC-a. Kako bi se to ostvarilo potrebno je osigurati usklađenost u pogledu upravljanja, procedura, alata, infrastrukture i sl. [23].</w:t>
      </w:r>
    </w:p>
    <w:p w:rsidR="001646BE" w:rsidRDefault="001646BE" w:rsidP="00883E72">
      <w:pPr>
        <w:ind w:firstLine="360"/>
      </w:pPr>
    </w:p>
    <w:p w:rsidR="001646BE" w:rsidRDefault="001646BE" w:rsidP="00883E72">
      <w:pPr>
        <w:ind w:firstLine="360"/>
      </w:pPr>
    </w:p>
    <w:p w:rsidR="001646BE" w:rsidRDefault="001646BE" w:rsidP="00883E72">
      <w:pPr>
        <w:ind w:firstLine="360"/>
      </w:pPr>
    </w:p>
    <w:p w:rsidR="001646BE" w:rsidRDefault="001646BE" w:rsidP="00883E72">
      <w:pPr>
        <w:ind w:firstLine="360"/>
      </w:pPr>
    </w:p>
    <w:p w:rsidR="001646BE" w:rsidRDefault="001646BE" w:rsidP="0042370F">
      <w:pPr>
        <w:pStyle w:val="Heading2"/>
        <w:ind w:left="567" w:hanging="567"/>
      </w:pPr>
      <w:bookmarkStart w:id="41" w:name="_Toc296339030"/>
      <w:r>
        <w:lastRenderedPageBreak/>
        <w:t>4.2 PERFORMANSE FUNKCIONALNOG BLOKA ZRAČNOG  PROSTORA CENTRAL EUROPE</w:t>
      </w:r>
      <w:bookmarkEnd w:id="41"/>
    </w:p>
    <w:p w:rsidR="001646BE" w:rsidRPr="0042370F" w:rsidRDefault="001646BE" w:rsidP="0042370F"/>
    <w:p w:rsidR="001646BE" w:rsidRDefault="001646BE" w:rsidP="00D4209C">
      <w:pPr>
        <w:spacing w:after="0"/>
        <w:ind w:firstLine="360"/>
      </w:pPr>
      <w:r w:rsidRPr="00D4209C">
        <w:t xml:space="preserve">Performanse </w:t>
      </w:r>
      <w:r>
        <w:t>funkcionalnog bloka zračnog prostora Central Europe očituju se preko indikatora kapaciteta, sigurnosti, ekonomske isplativosti, učinkovitosti leta i okoliša.</w:t>
      </w:r>
    </w:p>
    <w:p w:rsidR="001646BE" w:rsidRDefault="001646BE" w:rsidP="00D4209C">
      <w:pPr>
        <w:spacing w:after="0"/>
        <w:ind w:firstLine="360"/>
      </w:pPr>
    </w:p>
    <w:p w:rsidR="001646BE" w:rsidRDefault="001646BE" w:rsidP="00D4209C">
      <w:pPr>
        <w:pStyle w:val="Heading3"/>
      </w:pPr>
      <w:bookmarkStart w:id="42" w:name="_Toc296339031"/>
      <w:r>
        <w:t>4.2.1 KAPACITET</w:t>
      </w:r>
      <w:bookmarkEnd w:id="42"/>
    </w:p>
    <w:p w:rsidR="001646BE" w:rsidRPr="00D4209C" w:rsidRDefault="001646BE" w:rsidP="00FC114D">
      <w:pPr>
        <w:spacing w:after="0"/>
      </w:pPr>
    </w:p>
    <w:p w:rsidR="001646BE" w:rsidRDefault="001646BE" w:rsidP="00FC114D">
      <w:pPr>
        <w:ind w:firstLine="360"/>
      </w:pPr>
      <w:r>
        <w:t>Potrebno je povećanje kapaciteta kako bi se pariralo povećanju zračnog prometa u iznosu od 140% do 2025. godine (u odnosu na 2006. godin</w:t>
      </w:r>
      <w:r w:rsidR="00EA745D">
        <w:t>u) uz maksimalno kašnjenje od 0,</w:t>
      </w:r>
      <w:r>
        <w:t>6 minuta po letu. Što se tiče Hrvatske, bitno je spomenuti da je Hrvatska generirala najveće kašnjenje od svih zemalja članica FAB-a CE, 2008. godine, u izno</w:t>
      </w:r>
      <w:r w:rsidR="00EA745D">
        <w:t>su od 3,</w:t>
      </w:r>
      <w:r>
        <w:t>54 minute po letu. Također, znatni problemi s kapacitetom javljaju se u zagrebačkom sektoru. Hrvatska je dijelom riješila probleme s kapacitetom određenim ulaganjima, međutim potrebni su daljnji napori kako bi se Hrvatska riješila epiteta zemlje s najvećim ATFM kašnjenjem u FAB-u. U ljeto 2010. godine pr</w:t>
      </w:r>
      <w:r w:rsidR="00EA745D">
        <w:t>osječno kašnjenje iznosilo je 1,</w:t>
      </w:r>
      <w:r>
        <w:t>7 minuta po letu, najvećim razlogom zbog značajnog povećanja prometa u iznosu od 10% u odnosu na 2009. godinu. Grafikon 24 prikazuje ATFM kašnjenje za Hrvatsku u razdoblju od 2006. do 2009. godine [24].</w:t>
      </w:r>
    </w:p>
    <w:p w:rsidR="001646BE" w:rsidRDefault="00E02CBE" w:rsidP="00FC114D">
      <w:pPr>
        <w:spacing w:after="0"/>
        <w:ind w:firstLine="360"/>
      </w:pPr>
      <w:r>
        <w:rPr>
          <w:noProof/>
          <w:lang w:eastAsia="hr-HR"/>
        </w:rPr>
        <w:drawing>
          <wp:inline distT="0" distB="0" distL="0" distR="0">
            <wp:extent cx="4210050" cy="2333625"/>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srcRect/>
                    <a:stretch>
                      <a:fillRect/>
                    </a:stretch>
                  </pic:blipFill>
                  <pic:spPr bwMode="auto">
                    <a:xfrm>
                      <a:off x="0" y="0"/>
                      <a:ext cx="4210050" cy="2333625"/>
                    </a:xfrm>
                    <a:prstGeom prst="rect">
                      <a:avLst/>
                    </a:prstGeom>
                    <a:noFill/>
                    <a:ln w="9525">
                      <a:noFill/>
                      <a:miter lim="800000"/>
                      <a:headEnd/>
                      <a:tailEnd/>
                    </a:ln>
                  </pic:spPr>
                </pic:pic>
              </a:graphicData>
            </a:graphic>
          </wp:inline>
        </w:drawing>
      </w:r>
    </w:p>
    <w:p w:rsidR="001646BE" w:rsidRPr="00FC114D" w:rsidRDefault="001646BE" w:rsidP="00FC114D">
      <w:pPr>
        <w:spacing w:after="0"/>
        <w:ind w:firstLine="360"/>
      </w:pPr>
      <w:r>
        <w:rPr>
          <w:b/>
          <w:bCs/>
          <w:sz w:val="20"/>
          <w:szCs w:val="20"/>
        </w:rPr>
        <w:t xml:space="preserve">Grafikon 24: </w:t>
      </w:r>
      <w:r w:rsidRPr="00D4209C">
        <w:rPr>
          <w:b/>
          <w:bCs/>
          <w:sz w:val="20"/>
          <w:szCs w:val="20"/>
        </w:rPr>
        <w:t>ATFM kašnjenja za Hrvatsku.</w:t>
      </w:r>
    </w:p>
    <w:p w:rsidR="001646BE" w:rsidRDefault="001646BE" w:rsidP="00FC114D">
      <w:pPr>
        <w:spacing w:after="0"/>
        <w:ind w:firstLine="360"/>
        <w:rPr>
          <w:sz w:val="20"/>
          <w:szCs w:val="20"/>
        </w:rPr>
      </w:pPr>
      <w:r w:rsidRPr="009A2390">
        <w:rPr>
          <w:sz w:val="20"/>
          <w:szCs w:val="20"/>
        </w:rPr>
        <w:t>Izvor: Directorate Network Management</w:t>
      </w:r>
      <w:r>
        <w:rPr>
          <w:sz w:val="20"/>
          <w:szCs w:val="20"/>
        </w:rPr>
        <w:t xml:space="preserve">: </w:t>
      </w:r>
      <w:r w:rsidRPr="009A2390">
        <w:rPr>
          <w:sz w:val="20"/>
          <w:szCs w:val="20"/>
        </w:rPr>
        <w:t xml:space="preserve"> Network Operations Report for 2010</w:t>
      </w:r>
      <w:r>
        <w:rPr>
          <w:sz w:val="20"/>
          <w:szCs w:val="20"/>
        </w:rPr>
        <w:t xml:space="preserve">. </w:t>
      </w:r>
      <w:r w:rsidRPr="009A2390">
        <w:rPr>
          <w:sz w:val="20"/>
          <w:szCs w:val="20"/>
        </w:rPr>
        <w:t xml:space="preserve">, Eurocontrol, March 2011. </w:t>
      </w:r>
    </w:p>
    <w:p w:rsidR="001646BE" w:rsidRPr="009A2390" w:rsidRDefault="001646BE" w:rsidP="00FC114D">
      <w:pPr>
        <w:spacing w:after="0"/>
        <w:ind w:firstLine="360"/>
        <w:rPr>
          <w:sz w:val="20"/>
          <w:szCs w:val="20"/>
        </w:rPr>
      </w:pPr>
    </w:p>
    <w:p w:rsidR="001646BE" w:rsidRDefault="001646BE" w:rsidP="00073838">
      <w:pPr>
        <w:spacing w:after="0"/>
        <w:ind w:firstLine="360"/>
      </w:pPr>
      <w:r>
        <w:t xml:space="preserve">Iz grafikona se vidi da je najveće kašnjenje generirano 2008. godine, te da se ono smanjuje, međutim značajno povećanje prometa u razdoblju 2009.-2010. uzrokovalo je </w:t>
      </w:r>
      <w:r>
        <w:lastRenderedPageBreak/>
        <w:t xml:space="preserve">daljnje povećanje ATFM kašnjenja. Povećanje kapaciteta od 7% nedovoljno je u odnosu na povećanje potražnje. Očekivani rast prometa za FAB CE do 2025. godine iznosi 4% godišnje dok je Hrvatska je sa stopom rasta od 10% u 2010. god, uz Slovačku, zemlja sa najvećom stopom rasta prometa u FAB-u. </w:t>
      </w:r>
    </w:p>
    <w:p w:rsidR="001646BE" w:rsidRDefault="001646BE" w:rsidP="00073838">
      <w:pPr>
        <w:spacing w:after="0"/>
        <w:ind w:firstLine="360"/>
      </w:pPr>
    </w:p>
    <w:p w:rsidR="001646BE" w:rsidRDefault="001646BE" w:rsidP="00073838">
      <w:pPr>
        <w:pStyle w:val="Heading3"/>
      </w:pPr>
      <w:bookmarkStart w:id="43" w:name="_Toc296339032"/>
      <w:r>
        <w:t>4.2.2 SIGURNOST</w:t>
      </w:r>
      <w:bookmarkEnd w:id="43"/>
    </w:p>
    <w:p w:rsidR="001646BE" w:rsidRPr="00073838" w:rsidRDefault="001646BE" w:rsidP="00073838">
      <w:pPr>
        <w:spacing w:after="0"/>
      </w:pPr>
    </w:p>
    <w:p w:rsidR="001646BE" w:rsidRDefault="001646BE" w:rsidP="00073838">
      <w:pPr>
        <w:ind w:firstLine="360"/>
      </w:pPr>
      <w:r>
        <w:t>Implementacijom FAB-a CE treba se zadržati ili povećati trenutna razina sigurnosti bez obzira na povećanje prometne potražnje. Cilj je poboljšati sigurnost na način da se smanji godišnja stopa ATM-om uzrokovanih nesreća i incidenata. Implementacijom FAB-a primjenjivat će se ICAO aneksi i SARP</w:t>
      </w:r>
      <w:r>
        <w:rPr>
          <w:rStyle w:val="FootnoteReference"/>
        </w:rPr>
        <w:footnoteReference w:id="32"/>
      </w:r>
      <w:r>
        <w:t>-ovi, ANS legislativa Europske Unije, ESARR zahtjevi, ostali međunarodni ugovori i interni SMS</w:t>
      </w:r>
      <w:r>
        <w:rPr>
          <w:rStyle w:val="FootnoteReference"/>
        </w:rPr>
        <w:footnoteReference w:id="33"/>
      </w:r>
      <w:r>
        <w:t xml:space="preserve"> dokumenti. Razvoj SMS-a za FAB CE očekuje se odmah nakon implementacije, međutim uspostava FAB-a neće promijeniti ulogu i funkciju postojećih SMS-a zemalja članica [23].</w:t>
      </w:r>
      <w:r w:rsidRPr="00073838">
        <w:t xml:space="preserve"> </w:t>
      </w:r>
    </w:p>
    <w:p w:rsidR="001646BE" w:rsidRDefault="001646BE" w:rsidP="00073838">
      <w:pPr>
        <w:ind w:firstLine="360"/>
      </w:pPr>
      <w:r>
        <w:t>Ustrojem FAB-a razina sigurnosti se povećava zbog usklađivanja sigurnosnih procedura, izvješćivanja o incidentima, uvođenja jednakih principa za certifikaciju i regulaciju ANSP-a i tijela ASM-a, uvođenja dodatnih sigurnosnih procjena u skladu s FUA konceptom, te primjenom sigurnosnih zahtjeva na sve nove sustave u FAB-u. Prilikom izrade sigurnosne analize, identificirano je četrnaest rizičnih područja zajedno s mjerama za njihovo prevladavanje. Šest rizičnih područja odnosi se na ljudski faktor ATM sustava, šest rizičnih područja na elemente opreme i dva rizična područja koja se odnose na procedure. Zaključak sigurnosne analize je da iz sigurnosne perspektive nije identificiran niti jedan blokirajući faktor koji bi sprječavao implementaciju FAB-a CE.</w:t>
      </w:r>
    </w:p>
    <w:p w:rsidR="001646BE" w:rsidRDefault="001646BE" w:rsidP="00671DF9">
      <w:pPr>
        <w:ind w:firstLine="360"/>
      </w:pPr>
      <w:r>
        <w:t xml:space="preserve">Što se tiče Hrvatske, sigurnost je na visokoj razini, iako je zbog visoke stope povećanja prometa od 10% veći izazov ispunjavati potrebne zahtjeve nego u ostalim zemljama članicama FAB-a, gdje ta stopa iznosi oko 4%. U pogledu ispunjavanja ESARR zahtjeva FAB-a CE, Hrvatska je uz BiH, do 2008. godine u najmanjoj mjeri ispunila potrebne uvjete. Audit za Hrvatsku u cilju provjere ESARR implementacije kritičnih elemenata prikazan je na slici 15. </w:t>
      </w:r>
    </w:p>
    <w:p w:rsidR="001646BE" w:rsidRDefault="00E02CBE" w:rsidP="00073838">
      <w:pPr>
        <w:spacing w:after="0" w:line="240" w:lineRule="auto"/>
        <w:ind w:firstLine="360"/>
      </w:pPr>
      <w:r>
        <w:rPr>
          <w:noProof/>
          <w:lang w:eastAsia="hr-HR"/>
        </w:rPr>
        <w:lastRenderedPageBreak/>
        <w:drawing>
          <wp:inline distT="0" distB="0" distL="0" distR="0">
            <wp:extent cx="3905250" cy="373380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srcRect/>
                    <a:stretch>
                      <a:fillRect/>
                    </a:stretch>
                  </pic:blipFill>
                  <pic:spPr bwMode="auto">
                    <a:xfrm>
                      <a:off x="0" y="0"/>
                      <a:ext cx="3905250" cy="3733800"/>
                    </a:xfrm>
                    <a:prstGeom prst="rect">
                      <a:avLst/>
                    </a:prstGeom>
                    <a:noFill/>
                    <a:ln w="9525">
                      <a:noFill/>
                      <a:miter lim="800000"/>
                      <a:headEnd/>
                      <a:tailEnd/>
                    </a:ln>
                  </pic:spPr>
                </pic:pic>
              </a:graphicData>
            </a:graphic>
          </wp:inline>
        </w:drawing>
      </w:r>
    </w:p>
    <w:p w:rsidR="001646BE" w:rsidRPr="00073838" w:rsidRDefault="001646BE" w:rsidP="00073838">
      <w:pPr>
        <w:spacing w:after="0"/>
        <w:ind w:firstLine="360"/>
        <w:rPr>
          <w:b/>
          <w:bCs/>
        </w:rPr>
      </w:pPr>
      <w:r>
        <w:rPr>
          <w:b/>
          <w:bCs/>
          <w:sz w:val="20"/>
          <w:szCs w:val="20"/>
        </w:rPr>
        <w:t xml:space="preserve">Slika 15: </w:t>
      </w:r>
      <w:r w:rsidRPr="00073838">
        <w:rPr>
          <w:b/>
          <w:bCs/>
          <w:sz w:val="20"/>
          <w:szCs w:val="20"/>
        </w:rPr>
        <w:t>rezultati audita ESARR implementacije kritičnih elemanata nadzornog sigurnosnog sustava.</w:t>
      </w:r>
    </w:p>
    <w:p w:rsidR="001646BE" w:rsidRPr="00671DF9" w:rsidRDefault="001646BE" w:rsidP="00073838">
      <w:pPr>
        <w:spacing w:after="0"/>
        <w:ind w:left="360"/>
        <w:rPr>
          <w:sz w:val="20"/>
          <w:szCs w:val="20"/>
        </w:rPr>
      </w:pPr>
      <w:r>
        <w:rPr>
          <w:sz w:val="20"/>
          <w:szCs w:val="20"/>
        </w:rPr>
        <w:t xml:space="preserve">Izvor: </w:t>
      </w:r>
      <w:r w:rsidRPr="00073838">
        <w:rPr>
          <w:sz w:val="20"/>
          <w:szCs w:val="20"/>
        </w:rPr>
        <w:t>www.eurocon</w:t>
      </w:r>
      <w:r>
        <w:rPr>
          <w:sz w:val="20"/>
          <w:szCs w:val="20"/>
        </w:rPr>
        <w:t>trol.int</w:t>
      </w:r>
    </w:p>
    <w:p w:rsidR="001646BE" w:rsidRDefault="001646BE" w:rsidP="00073838">
      <w:pPr>
        <w:spacing w:after="0"/>
      </w:pPr>
    </w:p>
    <w:p w:rsidR="001646BE" w:rsidRDefault="001646BE" w:rsidP="00073838">
      <w:pPr>
        <w:pStyle w:val="Heading3"/>
      </w:pPr>
      <w:bookmarkStart w:id="44" w:name="_Toc296339033"/>
      <w:r>
        <w:t>4.2.3 EKONOMSKA ISPLATIVOST</w:t>
      </w:r>
      <w:bookmarkEnd w:id="44"/>
    </w:p>
    <w:p w:rsidR="001646BE" w:rsidRDefault="001646BE" w:rsidP="008D596B">
      <w:pPr>
        <w:rPr>
          <w:vanish/>
        </w:rPr>
      </w:pPr>
    </w:p>
    <w:p w:rsidR="001646BE" w:rsidRDefault="001646BE" w:rsidP="008D596B">
      <w:pPr>
        <w:rPr>
          <w:vanish/>
        </w:rPr>
      </w:pPr>
    </w:p>
    <w:p w:rsidR="001646BE" w:rsidRDefault="001646BE" w:rsidP="008D596B">
      <w:pPr>
        <w:rPr>
          <w:vanish/>
        </w:rPr>
      </w:pPr>
    </w:p>
    <w:p w:rsidR="001646BE" w:rsidRDefault="001646BE" w:rsidP="008D596B">
      <w:pPr>
        <w:rPr>
          <w:vanish/>
        </w:rPr>
      </w:pPr>
    </w:p>
    <w:p w:rsidR="001646BE" w:rsidRPr="008D596B" w:rsidRDefault="001646BE" w:rsidP="008D596B">
      <w:pPr>
        <w:spacing w:after="0" w:line="240" w:lineRule="auto"/>
        <w:jc w:val="left"/>
        <w:rPr>
          <w:vanish/>
          <w:lang w:eastAsia="hr-HR"/>
        </w:rPr>
      </w:pPr>
    </w:p>
    <w:p w:rsidR="001646BE" w:rsidRPr="008D596B" w:rsidRDefault="001646BE" w:rsidP="008D596B">
      <w:pPr>
        <w:spacing w:after="0" w:line="240" w:lineRule="auto"/>
        <w:jc w:val="left"/>
        <w:rPr>
          <w:vanish/>
          <w:lang w:eastAsia="hr-HR"/>
        </w:rPr>
      </w:pPr>
    </w:p>
    <w:p w:rsidR="001646BE" w:rsidRDefault="001646BE" w:rsidP="00DF281A">
      <w:pPr>
        <w:ind w:firstLine="360"/>
      </w:pPr>
    </w:p>
    <w:p w:rsidR="001646BE" w:rsidRDefault="001646BE" w:rsidP="003D1B2A">
      <w:pPr>
        <w:ind w:firstLine="360"/>
      </w:pPr>
      <w:r>
        <w:t xml:space="preserve">Cilj je poboljšati troškovnu efikasnost na teritoriju Europe za 10% do 2025. godine u odnosu na 2006. godinu, bez obzira na razliku u plaćama između regija srednje i zapadne Europe. Ukupni ATM troškovi trebaju se smanjiti s 800 eura/letu (2005. godina) na 400 eura/letu (2020. godina). Navedeno će se pokušati ostvariti godišnjim redukcijama u iznosu od 3 %, a kasnije u iznosu od 5 %. </w:t>
      </w:r>
    </w:p>
    <w:p w:rsidR="001646BE" w:rsidRDefault="001646BE" w:rsidP="00BF6D35">
      <w:pPr>
        <w:ind w:firstLine="360"/>
      </w:pPr>
      <w:r>
        <w:t>U pogledu ekonomske efikasnosti Hrvatska se nalazi u granicama vrijednosti koje odgovaraju srednjim vrijednostima čitavog FAB-a CE. Troškovi ATCO-a po satu leta u Hrvatskoj iznose 89 eura, dok je prosjek FAB-a 95 eura, ostali troškovi po satu leta u Hrvatskoj iznose 255 eura, dok je prosjek FAB-a 264 eura. Troškovi ATM/CNS-a po satu leta u Hrvatskoj iznose 344 eura, dok je prosjek FAB-a 360 eura. Iz navedenih vrijednosti može se zaključiti da Hrvatska ne odskače od prosječnih vrijednosti FAB-a, stoga ne bi trebalo biti većih problema za Hrvatsku što se tiče troškovne strukture prilikom uspostave FAB-a [</w:t>
      </w:r>
      <w:r w:rsidR="004D5F73">
        <w:fldChar w:fldCharType="begin"/>
      </w:r>
      <w:r>
        <w:instrText xml:space="preserve"> REF _Ref296006029 \r \h </w:instrText>
      </w:r>
      <w:r w:rsidR="004D5F73">
        <w:fldChar w:fldCharType="separate"/>
      </w:r>
      <w:r w:rsidR="00031686">
        <w:t>17</w:t>
      </w:r>
      <w:r w:rsidR="004D5F73">
        <w:fldChar w:fldCharType="end"/>
      </w:r>
      <w:r>
        <w:t>].</w:t>
      </w:r>
    </w:p>
    <w:p w:rsidR="001646BE" w:rsidRDefault="001646BE" w:rsidP="00BF6D35">
      <w:pPr>
        <w:ind w:firstLine="360"/>
      </w:pPr>
    </w:p>
    <w:p w:rsidR="001646BE" w:rsidRDefault="001646BE" w:rsidP="00073838">
      <w:pPr>
        <w:pStyle w:val="Heading3"/>
      </w:pPr>
      <w:bookmarkStart w:id="45" w:name="_Toc296339034"/>
      <w:r>
        <w:lastRenderedPageBreak/>
        <w:t>4.2.4 UČINKOVITOST LETA</w:t>
      </w:r>
      <w:bookmarkEnd w:id="45"/>
    </w:p>
    <w:p w:rsidR="001646BE" w:rsidRPr="00073838" w:rsidRDefault="001646BE" w:rsidP="00073838"/>
    <w:p w:rsidR="001646BE" w:rsidRDefault="001646BE" w:rsidP="00263D41">
      <w:pPr>
        <w:ind w:firstLine="360"/>
      </w:pPr>
      <w:r>
        <w:t xml:space="preserve">Primarni cilj za FAB CE jest optimizacija učinkovitosti leta, te ušteda od 2 milijuna km godišnje od 2017. godine nadalje. Ostali ciljevi svode se na postizanje efikasnosti letova u pogledu pravovremenih polazaka, trajanja letova i efikasnog korištenja goriva, na predvidljivost zrakoplovnih operacija, te fleksibilnost. </w:t>
      </w:r>
    </w:p>
    <w:p w:rsidR="001646BE" w:rsidRDefault="001646BE" w:rsidP="00073838">
      <w:pPr>
        <w:spacing w:after="0"/>
        <w:ind w:firstLine="360"/>
      </w:pPr>
      <w:r>
        <w:t xml:space="preserve">Jugoistočna os, koja povezuje Austriju, Hrvatsku, Grčku i Cipar, zbog manjka kapaciteta (pogotovo na zagrebačkom području) i radi visokih stopa rasta prometa, jedan je od glavnih uzroka javljanja ATFM kašnjenja u regiji. Potrebno je stoga poduzeti mjere kojima će se poboljšati efikasnost letenja u Hrvatskoj i FAB-u CE, a posredno i u jugoistočnom dijelu Europe. </w:t>
      </w:r>
    </w:p>
    <w:p w:rsidR="001646BE" w:rsidRDefault="001646BE" w:rsidP="00073838">
      <w:pPr>
        <w:spacing w:after="0"/>
        <w:ind w:firstLine="360"/>
      </w:pPr>
    </w:p>
    <w:p w:rsidR="001646BE" w:rsidRDefault="001646BE" w:rsidP="00073838">
      <w:pPr>
        <w:pStyle w:val="Heading3"/>
      </w:pPr>
      <w:bookmarkStart w:id="46" w:name="_Toc296339035"/>
      <w:r>
        <w:t>4.2.5 OKOLIŠ</w:t>
      </w:r>
      <w:bookmarkEnd w:id="46"/>
    </w:p>
    <w:p w:rsidR="001646BE" w:rsidRPr="00073838" w:rsidRDefault="001646BE" w:rsidP="00073838"/>
    <w:p w:rsidR="001646BE" w:rsidRDefault="001646BE" w:rsidP="00BF6D35">
      <w:pPr>
        <w:ind w:firstLine="360"/>
        <w:rPr>
          <w:sz w:val="16"/>
          <w:szCs w:val="16"/>
        </w:rPr>
      </w:pPr>
      <w:r>
        <w:t>Cilj je smanjiti emisiju CO</w:t>
      </w:r>
      <w:r w:rsidRPr="00BF6D35">
        <w:rPr>
          <w:sz w:val="16"/>
          <w:szCs w:val="16"/>
        </w:rPr>
        <w:t>2</w:t>
      </w:r>
      <w:r>
        <w:rPr>
          <w:sz w:val="16"/>
          <w:szCs w:val="16"/>
        </w:rPr>
        <w:t xml:space="preserve"> </w:t>
      </w:r>
      <w:r w:rsidRPr="00BF6D35">
        <w:t xml:space="preserve">za 22 tone godišnje od 2017. </w:t>
      </w:r>
      <w:r>
        <w:t>g</w:t>
      </w:r>
      <w:r w:rsidRPr="00BF6D35">
        <w:t>odine nadalje.</w:t>
      </w:r>
      <w:r>
        <w:rPr>
          <w:sz w:val="16"/>
          <w:szCs w:val="16"/>
        </w:rPr>
        <w:t xml:space="preserve"> </w:t>
      </w:r>
      <w:r w:rsidRPr="00BF6D35">
        <w:t xml:space="preserve">Ukupni cilj je smanjiti </w:t>
      </w:r>
      <w:r>
        <w:t>utjecaj letnih operacija na okoliš za 10% trenutnog utjecaja koji letenje ima na okoliš. Utjecaj na okoliš može se umanjiti ukoliko se poveća horizontalna učinkovitost letova. U FAB-u CE, razina horizontalne ekstenzije iznosi 3-4% u odnosu na let po ortodromi, od čega je 2% moguće korigirati ustrojem FAB-a i boljom organizacijom zračnog prostora, što iznosi oko 130 tona nepotrebne emisije CO</w:t>
      </w:r>
      <w:r w:rsidRPr="00BF6D35">
        <w:rPr>
          <w:sz w:val="16"/>
          <w:szCs w:val="16"/>
        </w:rPr>
        <w:t>2</w:t>
      </w:r>
      <w:r>
        <w:rPr>
          <w:sz w:val="16"/>
          <w:szCs w:val="16"/>
        </w:rPr>
        <w:t xml:space="preserve"> </w:t>
      </w:r>
      <w:r>
        <w:t>godišnje</w:t>
      </w:r>
      <w:r>
        <w:rPr>
          <w:sz w:val="16"/>
          <w:szCs w:val="16"/>
        </w:rPr>
        <w:t xml:space="preserve">  </w:t>
      </w:r>
      <w:r>
        <w:t>[</w:t>
      </w:r>
      <w:r w:rsidR="004D5F73">
        <w:fldChar w:fldCharType="begin"/>
      </w:r>
      <w:r>
        <w:instrText xml:space="preserve"> REF _Ref296006029 \r \h </w:instrText>
      </w:r>
      <w:r w:rsidR="004D5F73">
        <w:fldChar w:fldCharType="separate"/>
      </w:r>
      <w:r w:rsidR="00031686">
        <w:t>17</w:t>
      </w:r>
      <w:r w:rsidR="004D5F73">
        <w:fldChar w:fldCharType="end"/>
      </w:r>
      <w:r>
        <w:t>] [23].</w:t>
      </w:r>
    </w:p>
    <w:p w:rsidR="001646BE" w:rsidRDefault="001646BE" w:rsidP="00BF6D35">
      <w:pPr>
        <w:ind w:firstLine="360"/>
        <w:rPr>
          <w:sz w:val="16"/>
          <w:szCs w:val="16"/>
        </w:rPr>
      </w:pPr>
    </w:p>
    <w:p w:rsidR="001646BE" w:rsidRDefault="001646BE" w:rsidP="00BF6D35">
      <w:pPr>
        <w:ind w:firstLine="360"/>
        <w:rPr>
          <w:sz w:val="16"/>
          <w:szCs w:val="16"/>
        </w:rPr>
      </w:pPr>
    </w:p>
    <w:p w:rsidR="001646BE" w:rsidRDefault="001646BE" w:rsidP="00BF6D35">
      <w:pPr>
        <w:ind w:firstLine="360"/>
        <w:rPr>
          <w:sz w:val="16"/>
          <w:szCs w:val="16"/>
        </w:rPr>
      </w:pPr>
    </w:p>
    <w:p w:rsidR="001646BE" w:rsidRDefault="001646BE" w:rsidP="00BF6D35">
      <w:pPr>
        <w:ind w:firstLine="360"/>
        <w:rPr>
          <w:sz w:val="16"/>
          <w:szCs w:val="16"/>
        </w:rPr>
      </w:pPr>
    </w:p>
    <w:p w:rsidR="001646BE" w:rsidRDefault="001646BE" w:rsidP="00BF6D35">
      <w:pPr>
        <w:ind w:firstLine="360"/>
        <w:rPr>
          <w:sz w:val="16"/>
          <w:szCs w:val="16"/>
        </w:rPr>
      </w:pPr>
    </w:p>
    <w:p w:rsidR="00B95840" w:rsidRDefault="00B95840" w:rsidP="00BF6D35">
      <w:pPr>
        <w:ind w:firstLine="360"/>
        <w:rPr>
          <w:sz w:val="16"/>
          <w:szCs w:val="16"/>
        </w:rPr>
      </w:pPr>
    </w:p>
    <w:p w:rsidR="001646BE" w:rsidRDefault="001646BE" w:rsidP="00BF6D35">
      <w:pPr>
        <w:ind w:firstLine="360"/>
        <w:rPr>
          <w:sz w:val="16"/>
          <w:szCs w:val="16"/>
        </w:rPr>
      </w:pPr>
    </w:p>
    <w:p w:rsidR="001646BE" w:rsidRDefault="001646BE" w:rsidP="00061BC1">
      <w:pPr>
        <w:pStyle w:val="Heading2"/>
        <w:ind w:left="705" w:hanging="705"/>
      </w:pPr>
      <w:bookmarkStart w:id="47" w:name="_Toc296339036"/>
      <w:r>
        <w:lastRenderedPageBreak/>
        <w:t>4.2</w:t>
      </w:r>
      <w:r>
        <w:tab/>
        <w:t>USPOSTAVA FUNKCIONALNOG BLOKA ZRAČNOG PROSTORA SREDNJE EUROPE</w:t>
      </w:r>
      <w:bookmarkEnd w:id="47"/>
    </w:p>
    <w:p w:rsidR="001646BE" w:rsidRDefault="001646BE" w:rsidP="005B35DC"/>
    <w:p w:rsidR="001646BE" w:rsidRDefault="001646BE" w:rsidP="004D2DD2">
      <w:pPr>
        <w:ind w:firstLine="360"/>
      </w:pPr>
      <w:r>
        <w:t xml:space="preserve">Uspostava FAB-a počinje definicijom pojma funkcionalnog bloka zračnog prostora. Prema definiciji, FAB je blok zračnog prostora uspostavljen na temelju operativnih zahtjeva, te koji odražava potrebu za integriranim upravljanjem zračnim prostorom neovisno o državnim granicama. Prema tome, minimalni zahtjevi koji definiraju FAB su: prostorno i vremenski određen zračni prostor, zračni prostor s osiguranim ANS-om, te zračni prostor dizajniran na temelju operativnih zahtjeva. Navedeni zahtjevi su temeljni uvjeti uspostave FAB-a prema SES regulativi. Ukoliko oni nisu zadovoljeni, ne može se ustrojiti FAB. </w:t>
      </w:r>
    </w:p>
    <w:p w:rsidR="001646BE" w:rsidRDefault="001646BE" w:rsidP="002D1BD9">
      <w:pPr>
        <w:ind w:firstLine="360"/>
      </w:pPr>
      <w:r>
        <w:t xml:space="preserve">Kad tome pridodamo glavne ciljeve FAB-a (maksimalno osiguranje kapaciteta i efikasnosti, održavanje visoke razine sigurnosti te poštivanje regionalnih i ICAO ugovora), te zahtjev za zajedničkim imenovanjem ANSP-a, dobijemo skup temeljnih uvjeta za uspostavu FAB-a. Osim temeljnih uvjeta, postoje i uvjeti usklađenosti kojima se dodatno definira usklađenost operacija i djelovanja između zemalja članica FAB-a. </w:t>
      </w:r>
    </w:p>
    <w:p w:rsidR="001646BE" w:rsidRDefault="001646BE" w:rsidP="00A569B5">
      <w:pPr>
        <w:ind w:firstLine="360"/>
      </w:pPr>
      <w:r>
        <w:t xml:space="preserve">Uspostava FAB-a CE može se provesti na dva načina. Prvi način podrazumijeva ispunjavanje samo temeljnih uvjeta, dok bi se uvjeti usklađenosti ispunjavali u hodu. U tom slučaju omogućuje se postupan razvoj prema uspostavi FAB-a, te je moguće postići sporazum o ustroju u razmjerno kratkom roku. Drugi način podrazumijeva potpuno ispunjavanje, kako temeljnih, tako i uvjeta usklađenosti. U tom slučaju potrebno je više vremena za ustroj, međutim nakon potpisivanja sporazuma moguće je gotovo trenutno puštanje u operativnost. Ustroj FAB-a CE provest će se prema prvom načinu, dakle ispunjavanjem samo temeljnih uvjeta i potpisivanjem sporazuma o ustroju FAB-a. Međutim, potpuna operativnost FAB-a CE proglasit će se tek nakon ispunjavanja i uvjeta usklađenosti. </w:t>
      </w:r>
    </w:p>
    <w:p w:rsidR="001646BE" w:rsidRDefault="001646BE" w:rsidP="00C4224F">
      <w:pPr>
        <w:ind w:firstLine="360"/>
      </w:pPr>
      <w:r>
        <w:t>Zemlje članice mogu uspostaviti FAB CE tek nakon što su se konzultirale sa svim relevantnim stranama. U slučaju FAB-a CE to su EU Komisija, zemlje članice EU, Odbor jedinstvenog europskog neba, Eurocontrol, tijela koja predstavljaju zrakoplovnu industriju, zemlje članice CEATS inicijative, ANSP-i koji imaju ugovor sa FAB-om CE, susjedne europske zemlje i socijalni partneri [23].</w:t>
      </w:r>
    </w:p>
    <w:p w:rsidR="001646BE" w:rsidRDefault="001646BE" w:rsidP="00DF281A">
      <w:pPr>
        <w:ind w:firstLine="360"/>
      </w:pPr>
      <w:r>
        <w:t xml:space="preserve">Nakon što se zaključi sporazum o FAB-u, zemlje članice trebaju započeti proces ratifikacije sporazuma i proces nadopune relevantnih državnih zakona u pogledu pristupanja </w:t>
      </w:r>
      <w:r>
        <w:lastRenderedPageBreak/>
        <w:t>FAB-u. Prema tome, nakon potpisivanja sporazuma o pristupanju FAB-u CE, Hrvatska će morati ratificirati sporazum u Saboru RH i prihvatiti nadopune nacionalnog zakona u pogledu participacije Hrvatke u FAB-u, te u pogledu upravljačkih struktura u domeni zračnog prometa na razini države. Također, zemlje članice zajedno sa ANSP-ima trebat će blisko surađivati kako bi ustrojili tijelo koje će upravljati na razini čitavog FAB-a CE. Bitnu ulogu za Hrvatsku u tom kontekstu odigrat će HKZP</w:t>
      </w:r>
      <w:r>
        <w:rPr>
          <w:rStyle w:val="FootnoteReference"/>
        </w:rPr>
        <w:footnoteReference w:id="34"/>
      </w:r>
      <w:r>
        <w:t xml:space="preserve">, nacionalni ANSP. </w:t>
      </w:r>
    </w:p>
    <w:p w:rsidR="001646BE" w:rsidRDefault="001646BE" w:rsidP="00DF281A">
      <w:pPr>
        <w:ind w:firstLine="360"/>
      </w:pPr>
      <w:r>
        <w:t xml:space="preserve">Prije ratifikacije sporazuma, zemlje članice i nacionalni ANSP-i mogu unaprijed primjeniti neke elemente sporazuma (koji ne podliježu ratifikaciji) potpisivanjem ugovora između ANSP-a zemalja članica ili između zemalja članica na ministarskim razinama. Na taj način većina elemenata inicijalnog scenarija mogu biti implementirana prije same ratifikacije FAB CE sporazuma. </w:t>
      </w:r>
    </w:p>
    <w:p w:rsidR="001646BE" w:rsidRDefault="001646BE" w:rsidP="00F57BC3">
      <w:pPr>
        <w:ind w:firstLine="360"/>
      </w:pPr>
      <w:r>
        <w:t>Operativnost FAB-a se proglašava nakon što se ispune temeljni i uvjeti usklađenosti, što bi se trebalo poklopiti sa implementacijom scenarija statičkog područja odgovornosti. Operativnost se može proglasiti i u dijelu FAB-a gdje sporazum stupi na snagu (npr. na području dvije ili tri zemlje članice koje tvore koherentni blok zračnog prostora), međutim potpuna operativnost FAB-a proglašava se kad FAB CE postane operativan u svim zemljema članicama. Slika 16 prikazuje FAB CE.</w:t>
      </w:r>
    </w:p>
    <w:p w:rsidR="001646BE" w:rsidRDefault="00E02CBE" w:rsidP="00061BC1">
      <w:pPr>
        <w:spacing w:after="0"/>
      </w:pPr>
      <w:r>
        <w:rPr>
          <w:noProof/>
          <w:lang w:eastAsia="hr-HR"/>
        </w:rPr>
        <w:drawing>
          <wp:inline distT="0" distB="0" distL="0" distR="0">
            <wp:extent cx="3000375" cy="2543175"/>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srcRect/>
                    <a:stretch>
                      <a:fillRect/>
                    </a:stretch>
                  </pic:blipFill>
                  <pic:spPr bwMode="auto">
                    <a:xfrm>
                      <a:off x="0" y="0"/>
                      <a:ext cx="3000375" cy="2543175"/>
                    </a:xfrm>
                    <a:prstGeom prst="rect">
                      <a:avLst/>
                    </a:prstGeom>
                    <a:noFill/>
                    <a:ln w="9525">
                      <a:noFill/>
                      <a:miter lim="800000"/>
                      <a:headEnd/>
                      <a:tailEnd/>
                    </a:ln>
                  </pic:spPr>
                </pic:pic>
              </a:graphicData>
            </a:graphic>
          </wp:inline>
        </w:drawing>
      </w:r>
    </w:p>
    <w:p w:rsidR="001646BE" w:rsidRPr="00061BC1" w:rsidRDefault="001646BE" w:rsidP="00061BC1">
      <w:pPr>
        <w:spacing w:after="0"/>
        <w:rPr>
          <w:b/>
          <w:bCs/>
          <w:sz w:val="20"/>
          <w:szCs w:val="20"/>
        </w:rPr>
      </w:pPr>
      <w:r>
        <w:rPr>
          <w:b/>
          <w:bCs/>
          <w:sz w:val="20"/>
          <w:szCs w:val="20"/>
        </w:rPr>
        <w:t>Slika 16: Funkcionalni blok zračnog prostora Central Europe.</w:t>
      </w:r>
    </w:p>
    <w:p w:rsidR="001646BE" w:rsidRDefault="001646BE" w:rsidP="00061BC1">
      <w:pPr>
        <w:spacing w:after="0"/>
        <w:rPr>
          <w:sz w:val="20"/>
          <w:szCs w:val="20"/>
        </w:rPr>
      </w:pPr>
      <w:r w:rsidRPr="00F57BC3">
        <w:rPr>
          <w:sz w:val="20"/>
          <w:szCs w:val="20"/>
        </w:rPr>
        <w:t>Izvor : FAB CE Project Management Office: Feasibility Study, Master Plan, 2008.</w:t>
      </w:r>
    </w:p>
    <w:p w:rsidR="001646BE" w:rsidRDefault="001646BE" w:rsidP="00731E72">
      <w:pPr>
        <w:pStyle w:val="Heading2"/>
        <w:ind w:left="705" w:hanging="705"/>
      </w:pPr>
      <w:bookmarkStart w:id="48" w:name="_Toc296339037"/>
      <w:r>
        <w:lastRenderedPageBreak/>
        <w:t>4.3</w:t>
      </w:r>
      <w:r>
        <w:tab/>
        <w:t>SCENARIJI UPRAVLJANJA ZRAČNIM PROMETOM I PROJEKCIJA RAZVOJA FUNKCIONALNOG BLOKA ZRAČNOG PROSTORA CENTRAL EUROPE</w:t>
      </w:r>
      <w:bookmarkEnd w:id="48"/>
    </w:p>
    <w:p w:rsidR="001646BE" w:rsidRDefault="001646BE" w:rsidP="002E5B20"/>
    <w:p w:rsidR="001646BE" w:rsidRDefault="001646BE" w:rsidP="00576524">
      <w:pPr>
        <w:ind w:firstLine="360"/>
      </w:pPr>
      <w:r>
        <w:t xml:space="preserve">Postoje određene zapreke brze implementacije FAB-a CE u pogledu ljudskih i financijskih reursa, stoga nije moguće paralelno provoditi nekoliko razvojnih pravaca. Iz tog razloga se uspostava FAB-a CE temelji na tri scenarija (inicijalni scenarij, scenarij statičkog područja odgovornosti i scenarij dinamičkog područja odgovornosti). Svaki od tri spomenuta scenarija promatra se kao samostalan projekt sa svojim pripadajućim fazama razvoja. Inicijalni scenarij podrazumijeva inicijalnu operativnost FAB-a, primjenom konceptnih elemenata FAB-a CE, na temelju postojećih sustava i infrastrukture, ali bez potpune implementacije legislativnih i institucionalnih okvira. Potpuna operativnost FAB-a CE podrazumijeva se uspostavom scenarija statičkog ili dinamičkog područja odgovornosti i potpune implementacije legislativnih i institucionalnih okvira, čime se u potpunosti zadovoljavaju SES zahtjevi. Dijagram 1 prikazuje progresivnu implementaciju FAB-a CE. </w:t>
      </w:r>
    </w:p>
    <w:p w:rsidR="001646BE" w:rsidRPr="00141834" w:rsidRDefault="00E02CBE" w:rsidP="00576524">
      <w:pPr>
        <w:spacing w:after="0"/>
        <w:rPr>
          <w:sz w:val="20"/>
          <w:szCs w:val="20"/>
        </w:rPr>
      </w:pPr>
      <w:r>
        <w:rPr>
          <w:noProof/>
          <w:sz w:val="20"/>
          <w:szCs w:val="20"/>
          <w:lang w:eastAsia="hr-HR"/>
        </w:rPr>
        <w:drawing>
          <wp:inline distT="0" distB="0" distL="0" distR="0">
            <wp:extent cx="4772025" cy="2657475"/>
            <wp:effectExtent l="1905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srcRect/>
                    <a:stretch>
                      <a:fillRect/>
                    </a:stretch>
                  </pic:blipFill>
                  <pic:spPr bwMode="auto">
                    <a:xfrm>
                      <a:off x="0" y="0"/>
                      <a:ext cx="4772025" cy="2657475"/>
                    </a:xfrm>
                    <a:prstGeom prst="rect">
                      <a:avLst/>
                    </a:prstGeom>
                    <a:noFill/>
                    <a:ln w="9525">
                      <a:noFill/>
                      <a:miter lim="800000"/>
                      <a:headEnd/>
                      <a:tailEnd/>
                    </a:ln>
                  </pic:spPr>
                </pic:pic>
              </a:graphicData>
            </a:graphic>
          </wp:inline>
        </w:drawing>
      </w:r>
    </w:p>
    <w:p w:rsidR="001646BE" w:rsidRPr="00576524" w:rsidRDefault="001646BE" w:rsidP="00576524">
      <w:pPr>
        <w:spacing w:after="0"/>
        <w:rPr>
          <w:b/>
          <w:bCs/>
          <w:sz w:val="20"/>
          <w:szCs w:val="20"/>
        </w:rPr>
      </w:pPr>
      <w:r>
        <w:rPr>
          <w:b/>
          <w:bCs/>
          <w:sz w:val="20"/>
          <w:szCs w:val="20"/>
        </w:rPr>
        <w:t>Dijagram 1:</w:t>
      </w:r>
      <w:r w:rsidRPr="00576524">
        <w:rPr>
          <w:b/>
          <w:bCs/>
          <w:sz w:val="20"/>
          <w:szCs w:val="20"/>
        </w:rPr>
        <w:t xml:space="preserve"> pr</w:t>
      </w:r>
      <w:r>
        <w:rPr>
          <w:b/>
          <w:bCs/>
          <w:sz w:val="20"/>
          <w:szCs w:val="20"/>
        </w:rPr>
        <w:t>ogresivna implementacija FAB-a CE</w:t>
      </w:r>
    </w:p>
    <w:p w:rsidR="001646BE" w:rsidRDefault="001646BE" w:rsidP="00576524">
      <w:pPr>
        <w:spacing w:after="0"/>
        <w:rPr>
          <w:sz w:val="20"/>
          <w:szCs w:val="20"/>
        </w:rPr>
      </w:pPr>
      <w:r w:rsidRPr="00141834">
        <w:rPr>
          <w:sz w:val="20"/>
          <w:szCs w:val="20"/>
        </w:rPr>
        <w:t>Izvor: FAB CE Project Management Office: Feasibility Study, Master Plan, 2008.</w:t>
      </w:r>
      <w:r w:rsidRPr="00141834">
        <w:rPr>
          <w:sz w:val="20"/>
          <w:szCs w:val="20"/>
        </w:rPr>
        <w:tab/>
      </w:r>
    </w:p>
    <w:p w:rsidR="001646BE" w:rsidRDefault="001646BE" w:rsidP="00576524">
      <w:pPr>
        <w:spacing w:after="0"/>
        <w:rPr>
          <w:sz w:val="20"/>
          <w:szCs w:val="20"/>
        </w:rPr>
      </w:pPr>
    </w:p>
    <w:p w:rsidR="001646BE" w:rsidRDefault="001646BE" w:rsidP="00C70ED3">
      <w:pPr>
        <w:spacing w:after="0"/>
        <w:ind w:firstLine="360"/>
      </w:pPr>
      <w:r>
        <w:t>Kako bi se progresivno implementirao svaki od tri scenarija (inicijalni, statički i dinamički) potrebno je provesti znatan broj aktivnosti, te ih provoditi prema pravilnom redoslijedu.  Svaki scenarij sastoji se od tri faze uspostave: faza definicije, faza razvoja i faza implementacije</w:t>
      </w:r>
      <w:r w:rsidRPr="00B728E7">
        <w:t xml:space="preserve"> </w:t>
      </w:r>
      <w:r>
        <w:t>[23].</w:t>
      </w:r>
    </w:p>
    <w:p w:rsidR="001646BE" w:rsidRDefault="001646BE" w:rsidP="00576524">
      <w:pPr>
        <w:pStyle w:val="Heading3"/>
        <w:spacing w:before="0"/>
      </w:pPr>
      <w:bookmarkStart w:id="49" w:name="_Toc296339038"/>
      <w:r>
        <w:lastRenderedPageBreak/>
        <w:t>4.3.1</w:t>
      </w:r>
      <w:r>
        <w:tab/>
        <w:t>INICIJALNI SCENARIJ</w:t>
      </w:r>
      <w:bookmarkEnd w:id="49"/>
    </w:p>
    <w:p w:rsidR="001646BE" w:rsidRDefault="001646BE" w:rsidP="00576524">
      <w:pPr>
        <w:ind w:firstLine="360"/>
      </w:pPr>
    </w:p>
    <w:p w:rsidR="001646BE" w:rsidRDefault="001646BE" w:rsidP="005F5B59">
      <w:pPr>
        <w:spacing w:after="0"/>
        <w:ind w:firstLine="360"/>
      </w:pPr>
      <w:r>
        <w:t xml:space="preserve">Inicijalni scenarij podrazumijeva donošenje privremenih sporazuma na razini ANSP-a i zemalja članica u cilju FAB CE implementacije, te bliže suradnje u domeni operative, tehnike i ljudskih resursa. Inicijalni scenarij uvjet je daljnjeg razvoja FAB-a, s fokusom na ispunjavanje zahtjeva SES regulative. </w:t>
      </w:r>
    </w:p>
    <w:p w:rsidR="001646BE" w:rsidRDefault="001646BE" w:rsidP="005F5B59">
      <w:pPr>
        <w:spacing w:after="0"/>
        <w:ind w:firstLine="360"/>
      </w:pPr>
      <w:r>
        <w:t>Podrazumijevaju se manje modifikacije zračnog prostora i procedura u cilju rješavanja određenih kritičnih čvorišta, uspostave određenih prekograničnih operacija, uspostave planova za kritične situacije, donošenja multilateralnih sporazuma ANSP-a o financijskim pitanjima, uspostavu NSA licenciranih ustanova za obuku osoblja, uspostavu regionalnog odbora za planiranje, koordinaciju zračnim prostorom i rutnom mrežom putem Zajedničkog civilno-vojnog tijela za koordinaciju zračnog prostora (JCMACB</w:t>
      </w:r>
      <w:r>
        <w:rPr>
          <w:rStyle w:val="FootnoteReference"/>
        </w:rPr>
        <w:footnoteReference w:id="35"/>
      </w:r>
      <w:r>
        <w:t>) te donošenje FAB sporazuma i sheme djelokruga FAB-a CE</w:t>
      </w:r>
      <w:r w:rsidRPr="00EB610C">
        <w:t xml:space="preserve"> </w:t>
      </w:r>
      <w:r>
        <w:t xml:space="preserve">[23]. </w:t>
      </w:r>
    </w:p>
    <w:p w:rsidR="001646BE" w:rsidRPr="005F5B59" w:rsidRDefault="001646BE" w:rsidP="005F5B59">
      <w:pPr>
        <w:spacing w:after="0"/>
        <w:ind w:firstLine="360"/>
      </w:pPr>
    </w:p>
    <w:p w:rsidR="001646BE" w:rsidRDefault="001646BE" w:rsidP="00576524">
      <w:pPr>
        <w:ind w:firstLine="360"/>
      </w:pPr>
      <w:r>
        <w:t>Inicijalni scenarij sastoji se od tri faze uspostave: faza definicije, faza razvoja i faza implementacije. Faza definicije aktivira se odlukom na razini zemalja članica o nastavku implementacije FAB-a CE, čime se osiguravaju potrebni resursi. Odmah zatim slijedi uspostava tijela koje upravlja implementacijom (ISB</w:t>
      </w:r>
      <w:r>
        <w:rPr>
          <w:rStyle w:val="FootnoteReference"/>
        </w:rPr>
        <w:footnoteReference w:id="36"/>
      </w:r>
      <w:r>
        <w:t xml:space="preserve">), ustroj Odbora za suradnju ANSP-a te uspostava strukture upravljanja projektom. S obzirom da se inicijalni scenarij temelji na postojećoj tehnologiji, ne postoje kompleksni tehnički zahtjevi osim uspostave Odbora za regionalno tehničko planiranje. U pogledu sigurnosti potrebno je uspostaviti SMS i postaviti sigurnosne ciljeve, te ustrojiti sigurnosni sustav zajedno sa procedurama i planovima za nepredviđene situacije. Inicijalni scenarij moguće je provesti prije ratifikacije FAB CE sporazuma i proglašenja operativnosti FAB-a. </w:t>
      </w:r>
    </w:p>
    <w:p w:rsidR="001646BE" w:rsidRDefault="001646BE" w:rsidP="00576524">
      <w:pPr>
        <w:ind w:firstLine="360"/>
      </w:pPr>
    </w:p>
    <w:p w:rsidR="001646BE" w:rsidRDefault="001646BE" w:rsidP="00576524">
      <w:pPr>
        <w:ind w:firstLine="360"/>
      </w:pPr>
    </w:p>
    <w:p w:rsidR="001646BE" w:rsidRDefault="001646BE" w:rsidP="00576524">
      <w:pPr>
        <w:ind w:firstLine="360"/>
      </w:pPr>
    </w:p>
    <w:p w:rsidR="001646BE" w:rsidRDefault="001646BE" w:rsidP="00576524">
      <w:pPr>
        <w:ind w:firstLine="360"/>
      </w:pPr>
    </w:p>
    <w:p w:rsidR="001646BE" w:rsidRDefault="001646BE" w:rsidP="00C70ED3">
      <w:pPr>
        <w:pStyle w:val="Heading3"/>
      </w:pPr>
      <w:bookmarkStart w:id="50" w:name="_Toc296339039"/>
      <w:r>
        <w:lastRenderedPageBreak/>
        <w:t>4.3.2</w:t>
      </w:r>
      <w:r>
        <w:tab/>
      </w:r>
      <w:r w:rsidRPr="000C53A8">
        <w:t>SCENARIJ STATIČKOG PODRUČJA ODGOVORNOSTI</w:t>
      </w:r>
      <w:bookmarkEnd w:id="50"/>
    </w:p>
    <w:p w:rsidR="001646BE" w:rsidRPr="000C53A8" w:rsidRDefault="001646BE" w:rsidP="00C70ED3"/>
    <w:p w:rsidR="001646BE" w:rsidRDefault="001646BE" w:rsidP="00C70ED3">
      <w:pPr>
        <w:ind w:firstLine="360"/>
      </w:pPr>
      <w:r>
        <w:t>Scenarij statičkog područja odgovornosti osigurava optimalnu upotrebu zračnog prostora, uzimajući u obzir tokove zračnog prometa uz fleksibilan transfer odgovornosti kontrole zračnog prometa između jedinica ATS-a, bez obzira na nacionalne granice.</w:t>
      </w:r>
    </w:p>
    <w:p w:rsidR="001646BE" w:rsidRDefault="001646BE" w:rsidP="00C70ED3">
      <w:pPr>
        <w:ind w:firstLine="360"/>
      </w:pPr>
      <w:r>
        <w:t>Planiranje upotrebe zračnog prostora provodi se od strane JCMACB-a na principu prekogranične sektorizacije. Planiranje je centralizirano uz funkcionalnu integraciju upravljanja zračnim prostorom i provođenjem ATFCM</w:t>
      </w:r>
      <w:r>
        <w:rPr>
          <w:rStyle w:val="FootnoteReference"/>
        </w:rPr>
        <w:footnoteReference w:id="37"/>
      </w:r>
      <w:r>
        <w:t xml:space="preserve"> mjera. Upravljanje konfiguracijom sektora provodi se unutar ATS jedinica s područjem odgovornosti nad jednom ili više grupa sektora. Konfiguracija se određuje u sklopu regionalnog mrežnog operativnog plana (NOP</w:t>
      </w:r>
      <w:r>
        <w:rPr>
          <w:rStyle w:val="FootnoteReference"/>
        </w:rPr>
        <w:footnoteReference w:id="38"/>
      </w:r>
      <w:r>
        <w:t xml:space="preserve">) koji se usklađuje s europskim NOP-om, te je aktualan minimalno 6 mjeseci (razdoblje valjanosti). Svaka grupa sektora dodjeljuje se jednoj ATS jedinici, koja pruža usluge unutar navedene grupe sektora u spomenutom razdoblju valjanosti. </w:t>
      </w:r>
    </w:p>
    <w:p w:rsidR="001646BE" w:rsidRDefault="001646BE" w:rsidP="00C70ED3">
      <w:pPr>
        <w:spacing w:after="0"/>
        <w:ind w:firstLine="360"/>
      </w:pPr>
      <w:r>
        <w:t>Ključni zahtjevi potrebni da se izvrši scenarij statičkog područja odgovornosti su sljedeći:</w:t>
      </w:r>
    </w:p>
    <w:p w:rsidR="001646BE" w:rsidRDefault="001646BE" w:rsidP="00B95840">
      <w:pPr>
        <w:pStyle w:val="ListParagraph"/>
        <w:numPr>
          <w:ilvl w:val="0"/>
          <w:numId w:val="27"/>
        </w:numPr>
        <w:spacing w:after="0"/>
      </w:pPr>
      <w:r>
        <w:t>usklađenost procedura na glavnim prometnim tokovima,</w:t>
      </w:r>
    </w:p>
    <w:p w:rsidR="001646BE" w:rsidRDefault="001646BE" w:rsidP="00B95840">
      <w:pPr>
        <w:pStyle w:val="ListParagraph"/>
        <w:numPr>
          <w:ilvl w:val="0"/>
          <w:numId w:val="27"/>
        </w:numPr>
        <w:spacing w:after="0"/>
      </w:pPr>
      <w:r>
        <w:t>zajednički kriteriji dizajniranja zračnog prostora,</w:t>
      </w:r>
    </w:p>
    <w:p w:rsidR="001646BE" w:rsidRDefault="001646BE" w:rsidP="00B95840">
      <w:pPr>
        <w:pStyle w:val="ListParagraph"/>
        <w:numPr>
          <w:ilvl w:val="0"/>
          <w:numId w:val="27"/>
        </w:numPr>
        <w:spacing w:after="0"/>
      </w:pPr>
      <w:r>
        <w:t>zajednički planovi i procedure na razini FAB-a za nepredviđene situacije,</w:t>
      </w:r>
    </w:p>
    <w:p w:rsidR="001646BE" w:rsidRDefault="001646BE" w:rsidP="00B95840">
      <w:pPr>
        <w:pStyle w:val="ListParagraph"/>
        <w:numPr>
          <w:ilvl w:val="0"/>
          <w:numId w:val="27"/>
        </w:numPr>
        <w:spacing w:after="0"/>
      </w:pPr>
      <w:r>
        <w:t>modifikacija sustava za procesuiranje podataka,</w:t>
      </w:r>
    </w:p>
    <w:p w:rsidR="001646BE" w:rsidRDefault="001646BE" w:rsidP="00B95840">
      <w:pPr>
        <w:pStyle w:val="ListParagraph"/>
        <w:numPr>
          <w:ilvl w:val="0"/>
          <w:numId w:val="27"/>
        </w:numPr>
        <w:spacing w:after="0"/>
      </w:pPr>
      <w:r>
        <w:t>zajednički zahtjevi za kompetentnost zaposlenika i zajednički standardi obuke,</w:t>
      </w:r>
    </w:p>
    <w:p w:rsidR="001646BE" w:rsidRDefault="001646BE" w:rsidP="00B95840">
      <w:pPr>
        <w:pStyle w:val="ListParagraph"/>
        <w:numPr>
          <w:ilvl w:val="0"/>
          <w:numId w:val="27"/>
        </w:numPr>
      </w:pPr>
      <w:r>
        <w:t>zajedničke regulative i procedure unutar grupe sektora.</w:t>
      </w:r>
    </w:p>
    <w:p w:rsidR="001646BE" w:rsidRDefault="001646BE" w:rsidP="00B95840">
      <w:pPr>
        <w:ind w:firstLine="360"/>
      </w:pPr>
      <w:r>
        <w:t xml:space="preserve">Implementacija svih zahtjeva inicijalnog scenarija uvjet je implementaciji scenarija statičkog područja odgovornosti. </w:t>
      </w:r>
    </w:p>
    <w:p w:rsidR="001646BE" w:rsidRPr="00030A0A" w:rsidRDefault="001646BE" w:rsidP="00C70ED3">
      <w:pPr>
        <w:ind w:firstLine="360"/>
      </w:pPr>
      <w:r>
        <w:t>Grupe sektora tj. dizajniranje zračnog prostora vrši se prema određenim principima i kriterijima koji podrazumijevaju elemente poput: kompleksnosti prometa, prometnih interakcija, kritičnih područja, optimalne upotrebe zračnog prostora, te multinacionalne suradnje na svim razinama FUA koncepta. Slike 17 i 18 prikazuje grupe sektora u FAB-u CE“ispod i iznad FL 285 [23].</w:t>
      </w:r>
    </w:p>
    <w:p w:rsidR="001646BE" w:rsidRDefault="00E02CBE" w:rsidP="00E50FFA">
      <w:pPr>
        <w:spacing w:after="0"/>
      </w:pPr>
      <w:r>
        <w:rPr>
          <w:noProof/>
          <w:lang w:eastAsia="hr-HR"/>
        </w:rPr>
        <w:lastRenderedPageBreak/>
        <w:drawing>
          <wp:inline distT="0" distB="0" distL="0" distR="0">
            <wp:extent cx="2676525" cy="3152775"/>
            <wp:effectExtent l="1905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srcRect/>
                    <a:stretch>
                      <a:fillRect/>
                    </a:stretch>
                  </pic:blipFill>
                  <pic:spPr bwMode="auto">
                    <a:xfrm>
                      <a:off x="0" y="0"/>
                      <a:ext cx="2676525" cy="3152775"/>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724150" cy="320040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srcRect/>
                    <a:stretch>
                      <a:fillRect/>
                    </a:stretch>
                  </pic:blipFill>
                  <pic:spPr bwMode="auto">
                    <a:xfrm>
                      <a:off x="0" y="0"/>
                      <a:ext cx="2724150" cy="3200400"/>
                    </a:xfrm>
                    <a:prstGeom prst="rect">
                      <a:avLst/>
                    </a:prstGeom>
                    <a:noFill/>
                    <a:ln w="9525">
                      <a:noFill/>
                      <a:miter lim="800000"/>
                      <a:headEnd/>
                      <a:tailEnd/>
                    </a:ln>
                  </pic:spPr>
                </pic:pic>
              </a:graphicData>
            </a:graphic>
          </wp:inline>
        </w:drawing>
      </w:r>
    </w:p>
    <w:p w:rsidR="001646BE" w:rsidRPr="00E50FFA" w:rsidRDefault="001646BE" w:rsidP="00E50FFA">
      <w:pPr>
        <w:spacing w:after="0"/>
        <w:rPr>
          <w:b/>
          <w:bCs/>
          <w:sz w:val="20"/>
          <w:szCs w:val="20"/>
        </w:rPr>
      </w:pPr>
      <w:r>
        <w:rPr>
          <w:b/>
          <w:bCs/>
          <w:sz w:val="20"/>
          <w:szCs w:val="20"/>
        </w:rPr>
        <w:t>Slika 17:</w:t>
      </w:r>
      <w:r w:rsidRPr="00E50FFA">
        <w:rPr>
          <w:b/>
          <w:bCs/>
          <w:sz w:val="20"/>
          <w:szCs w:val="20"/>
        </w:rPr>
        <w:t xml:space="preserve"> grupa sektora i</w:t>
      </w:r>
      <w:r>
        <w:rPr>
          <w:b/>
          <w:bCs/>
          <w:sz w:val="20"/>
          <w:szCs w:val="20"/>
        </w:rPr>
        <w:t>spod FL 285</w:t>
      </w:r>
      <w:r>
        <w:rPr>
          <w:b/>
          <w:bCs/>
          <w:sz w:val="20"/>
          <w:szCs w:val="20"/>
        </w:rPr>
        <w:tab/>
      </w:r>
      <w:r>
        <w:rPr>
          <w:b/>
          <w:bCs/>
          <w:sz w:val="20"/>
          <w:szCs w:val="20"/>
        </w:rPr>
        <w:tab/>
        <w:t xml:space="preserve">        Slika 18: </w:t>
      </w:r>
      <w:r w:rsidRPr="00E50FFA">
        <w:rPr>
          <w:b/>
          <w:bCs/>
          <w:sz w:val="20"/>
          <w:szCs w:val="20"/>
        </w:rPr>
        <w:t>grupa sektora iznad FL 285</w:t>
      </w:r>
    </w:p>
    <w:p w:rsidR="001646BE" w:rsidRDefault="001646BE" w:rsidP="00E50FFA">
      <w:pPr>
        <w:spacing w:after="0"/>
        <w:rPr>
          <w:sz w:val="20"/>
          <w:szCs w:val="20"/>
        </w:rPr>
      </w:pPr>
      <w:r>
        <w:rPr>
          <w:sz w:val="20"/>
          <w:szCs w:val="20"/>
        </w:rPr>
        <w:t xml:space="preserve">Izvor: </w:t>
      </w:r>
      <w:r w:rsidRPr="00F57BC3">
        <w:rPr>
          <w:sz w:val="20"/>
          <w:szCs w:val="20"/>
        </w:rPr>
        <w:t>FAB CE Project Management Office: Feasibility Study, Master Plan, 2008.</w:t>
      </w:r>
    </w:p>
    <w:p w:rsidR="001646BE" w:rsidRDefault="001646BE" w:rsidP="00E50FFA">
      <w:pPr>
        <w:spacing w:after="0"/>
        <w:rPr>
          <w:sz w:val="20"/>
          <w:szCs w:val="20"/>
        </w:rPr>
      </w:pPr>
    </w:p>
    <w:p w:rsidR="001646BE" w:rsidRDefault="001646BE" w:rsidP="00E50FFA">
      <w:pPr>
        <w:spacing w:after="0"/>
        <w:ind w:firstLine="360"/>
      </w:pPr>
      <w:r>
        <w:t xml:space="preserve">Dodjela grupa sektora ATS jedinicama izvršena je na način da se ukupan broj sektora raspodijeli na sedam ATS jedinica zemalja članica FAB-a CE. Jedinice zemalja članica su sljedeće: Zagreb, Sarajevo, Ljubljana, Beč, Budimpešta, Bratislava i Prag. Raspodjela grupa sektora na ATS jedinice prikazana je u tablici 13. </w:t>
      </w:r>
    </w:p>
    <w:p w:rsidR="001646BE" w:rsidRPr="00E50FFA" w:rsidRDefault="001646BE" w:rsidP="00E50FFA">
      <w:pPr>
        <w:spacing w:after="0"/>
        <w:ind w:firstLine="360"/>
        <w:rPr>
          <w:b/>
          <w:bCs/>
        </w:rPr>
      </w:pPr>
    </w:p>
    <w:p w:rsidR="001646BE" w:rsidRPr="00E50FFA" w:rsidRDefault="001646BE" w:rsidP="00E50FFA">
      <w:pPr>
        <w:spacing w:after="0"/>
        <w:rPr>
          <w:b/>
          <w:bCs/>
          <w:sz w:val="20"/>
          <w:szCs w:val="20"/>
        </w:rPr>
      </w:pPr>
      <w:r>
        <w:rPr>
          <w:b/>
          <w:bCs/>
          <w:sz w:val="20"/>
          <w:szCs w:val="20"/>
        </w:rPr>
        <w:t xml:space="preserve">Tablica 13: </w:t>
      </w:r>
      <w:r w:rsidRPr="00E50FFA">
        <w:rPr>
          <w:b/>
          <w:bCs/>
          <w:sz w:val="20"/>
          <w:szCs w:val="20"/>
        </w:rPr>
        <w:t>raspodjela grupa</w:t>
      </w:r>
      <w:r>
        <w:rPr>
          <w:b/>
          <w:bCs/>
          <w:sz w:val="20"/>
          <w:szCs w:val="20"/>
        </w:rPr>
        <w:t xml:space="preserve"> sektora na ATS jedinice FAB-a CE</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3"/>
        <w:gridCol w:w="4643"/>
      </w:tblGrid>
      <w:tr w:rsidR="001646BE" w:rsidRPr="003A4F00">
        <w:tc>
          <w:tcPr>
            <w:tcW w:w="4643" w:type="dxa"/>
            <w:vAlign w:val="center"/>
          </w:tcPr>
          <w:p w:rsidR="001646BE" w:rsidRPr="003A4F00" w:rsidRDefault="001646BE" w:rsidP="003A4F00">
            <w:pPr>
              <w:spacing w:after="0"/>
              <w:rPr>
                <w:b/>
                <w:bCs/>
                <w:color w:val="000000"/>
                <w:sz w:val="20"/>
                <w:szCs w:val="20"/>
              </w:rPr>
            </w:pPr>
            <w:r w:rsidRPr="003A4F00">
              <w:rPr>
                <w:b/>
                <w:bCs/>
                <w:color w:val="000000"/>
                <w:sz w:val="20"/>
                <w:szCs w:val="20"/>
              </w:rPr>
              <w:t>GRUPA SEKTORA</w:t>
            </w:r>
          </w:p>
        </w:tc>
        <w:tc>
          <w:tcPr>
            <w:tcW w:w="4643" w:type="dxa"/>
            <w:vAlign w:val="center"/>
          </w:tcPr>
          <w:p w:rsidR="001646BE" w:rsidRPr="003A4F00" w:rsidRDefault="001646BE" w:rsidP="003A4F00">
            <w:pPr>
              <w:spacing w:after="0"/>
              <w:rPr>
                <w:b/>
                <w:bCs/>
                <w:color w:val="000000"/>
                <w:sz w:val="20"/>
                <w:szCs w:val="20"/>
              </w:rPr>
            </w:pPr>
            <w:r w:rsidRPr="003A4F00">
              <w:rPr>
                <w:b/>
                <w:bCs/>
                <w:color w:val="000000"/>
                <w:sz w:val="20"/>
                <w:szCs w:val="20"/>
              </w:rPr>
              <w:t>ATS JEDINICA</w:t>
            </w:r>
          </w:p>
        </w:tc>
      </w:tr>
      <w:tr w:rsidR="001646BE" w:rsidRPr="003A4F00">
        <w:tc>
          <w:tcPr>
            <w:tcW w:w="4643" w:type="dxa"/>
            <w:shd w:val="clear" w:color="auto" w:fill="C0C0C0"/>
            <w:vAlign w:val="center"/>
          </w:tcPr>
          <w:p w:rsidR="001646BE" w:rsidRPr="003A4F00" w:rsidRDefault="001646BE" w:rsidP="003A4F00">
            <w:pPr>
              <w:spacing w:after="0"/>
              <w:rPr>
                <w:b/>
                <w:bCs/>
                <w:color w:val="000000"/>
                <w:sz w:val="20"/>
                <w:szCs w:val="20"/>
              </w:rPr>
            </w:pPr>
            <w:r w:rsidRPr="003A4F00">
              <w:rPr>
                <w:color w:val="000000"/>
                <w:sz w:val="20"/>
                <w:szCs w:val="20"/>
              </w:rPr>
              <w:t>SG1, SG3, SG4</w:t>
            </w:r>
          </w:p>
        </w:tc>
        <w:tc>
          <w:tcPr>
            <w:tcW w:w="4643" w:type="dxa"/>
            <w:shd w:val="clear" w:color="auto" w:fill="C0C0C0"/>
            <w:vAlign w:val="center"/>
          </w:tcPr>
          <w:p w:rsidR="001646BE" w:rsidRPr="003A4F00" w:rsidRDefault="001646BE" w:rsidP="003A4F00">
            <w:pPr>
              <w:spacing w:after="0"/>
              <w:rPr>
                <w:color w:val="000000"/>
                <w:sz w:val="20"/>
                <w:szCs w:val="20"/>
              </w:rPr>
            </w:pPr>
            <w:r w:rsidRPr="003A4F00">
              <w:rPr>
                <w:color w:val="000000"/>
                <w:sz w:val="20"/>
                <w:szCs w:val="20"/>
              </w:rPr>
              <w:t>ZAGREB</w:t>
            </w:r>
          </w:p>
        </w:tc>
      </w:tr>
      <w:tr w:rsidR="001646BE" w:rsidRPr="003A4F00">
        <w:tc>
          <w:tcPr>
            <w:tcW w:w="4643" w:type="dxa"/>
            <w:vAlign w:val="center"/>
          </w:tcPr>
          <w:p w:rsidR="001646BE" w:rsidRPr="003A4F00" w:rsidRDefault="001646BE" w:rsidP="003A4F00">
            <w:pPr>
              <w:spacing w:after="0"/>
              <w:rPr>
                <w:b/>
                <w:bCs/>
                <w:color w:val="000000"/>
                <w:sz w:val="20"/>
                <w:szCs w:val="20"/>
              </w:rPr>
            </w:pPr>
            <w:r w:rsidRPr="003A4F00">
              <w:rPr>
                <w:color w:val="000000"/>
                <w:sz w:val="20"/>
                <w:szCs w:val="20"/>
              </w:rPr>
              <w:t>SG2, SG4 (u din. scenariju zajedno sa ATS Zagreb)</w:t>
            </w:r>
          </w:p>
        </w:tc>
        <w:tc>
          <w:tcPr>
            <w:tcW w:w="4643" w:type="dxa"/>
            <w:vAlign w:val="center"/>
          </w:tcPr>
          <w:p w:rsidR="001646BE" w:rsidRPr="003A4F00" w:rsidRDefault="001646BE" w:rsidP="003A4F00">
            <w:pPr>
              <w:spacing w:after="0"/>
              <w:rPr>
                <w:color w:val="000000"/>
                <w:sz w:val="20"/>
                <w:szCs w:val="20"/>
              </w:rPr>
            </w:pPr>
            <w:r w:rsidRPr="003A4F00">
              <w:rPr>
                <w:color w:val="000000"/>
                <w:sz w:val="20"/>
                <w:szCs w:val="20"/>
              </w:rPr>
              <w:t>SARAJEVO</w:t>
            </w:r>
          </w:p>
        </w:tc>
      </w:tr>
      <w:tr w:rsidR="001646BE" w:rsidRPr="003A4F00">
        <w:tc>
          <w:tcPr>
            <w:tcW w:w="4643" w:type="dxa"/>
            <w:shd w:val="clear" w:color="auto" w:fill="C0C0C0"/>
            <w:vAlign w:val="center"/>
          </w:tcPr>
          <w:p w:rsidR="001646BE" w:rsidRPr="003A4F00" w:rsidRDefault="001646BE" w:rsidP="003A4F00">
            <w:pPr>
              <w:spacing w:after="0"/>
              <w:rPr>
                <w:b/>
                <w:bCs/>
                <w:color w:val="000000"/>
                <w:sz w:val="20"/>
                <w:szCs w:val="20"/>
              </w:rPr>
            </w:pPr>
            <w:r w:rsidRPr="003A4F00">
              <w:rPr>
                <w:color w:val="000000"/>
                <w:sz w:val="20"/>
                <w:szCs w:val="20"/>
              </w:rPr>
              <w:t>SG5</w:t>
            </w:r>
          </w:p>
        </w:tc>
        <w:tc>
          <w:tcPr>
            <w:tcW w:w="4643" w:type="dxa"/>
            <w:shd w:val="clear" w:color="auto" w:fill="C0C0C0"/>
            <w:vAlign w:val="center"/>
          </w:tcPr>
          <w:p w:rsidR="001646BE" w:rsidRPr="003A4F00" w:rsidRDefault="001646BE" w:rsidP="003A4F00">
            <w:pPr>
              <w:spacing w:after="0"/>
              <w:rPr>
                <w:color w:val="000000"/>
                <w:sz w:val="20"/>
                <w:szCs w:val="20"/>
              </w:rPr>
            </w:pPr>
            <w:r w:rsidRPr="003A4F00">
              <w:rPr>
                <w:color w:val="000000"/>
                <w:sz w:val="20"/>
                <w:szCs w:val="20"/>
              </w:rPr>
              <w:t>LJUBLJANA</w:t>
            </w:r>
          </w:p>
        </w:tc>
      </w:tr>
      <w:tr w:rsidR="001646BE" w:rsidRPr="003A4F00">
        <w:tc>
          <w:tcPr>
            <w:tcW w:w="4643" w:type="dxa"/>
            <w:vAlign w:val="center"/>
          </w:tcPr>
          <w:p w:rsidR="001646BE" w:rsidRPr="003A4F00" w:rsidRDefault="001646BE" w:rsidP="003A4F00">
            <w:pPr>
              <w:spacing w:after="0"/>
              <w:rPr>
                <w:b/>
                <w:bCs/>
                <w:color w:val="000000"/>
                <w:sz w:val="20"/>
                <w:szCs w:val="20"/>
              </w:rPr>
            </w:pPr>
            <w:r w:rsidRPr="003A4F00">
              <w:rPr>
                <w:color w:val="000000"/>
                <w:sz w:val="20"/>
                <w:szCs w:val="20"/>
              </w:rPr>
              <w:t>SG6, SG7, SG8</w:t>
            </w:r>
          </w:p>
        </w:tc>
        <w:tc>
          <w:tcPr>
            <w:tcW w:w="4643" w:type="dxa"/>
            <w:vAlign w:val="center"/>
          </w:tcPr>
          <w:p w:rsidR="001646BE" w:rsidRPr="003A4F00" w:rsidRDefault="001646BE" w:rsidP="003A4F00">
            <w:pPr>
              <w:spacing w:after="0"/>
              <w:rPr>
                <w:color w:val="000000"/>
                <w:sz w:val="20"/>
                <w:szCs w:val="20"/>
              </w:rPr>
            </w:pPr>
            <w:r w:rsidRPr="003A4F00">
              <w:rPr>
                <w:color w:val="000000"/>
                <w:sz w:val="20"/>
                <w:szCs w:val="20"/>
              </w:rPr>
              <w:t>BEČ</w:t>
            </w:r>
          </w:p>
        </w:tc>
      </w:tr>
      <w:tr w:rsidR="001646BE" w:rsidRPr="003A4F00">
        <w:tc>
          <w:tcPr>
            <w:tcW w:w="4643" w:type="dxa"/>
            <w:shd w:val="clear" w:color="auto" w:fill="C0C0C0"/>
            <w:vAlign w:val="center"/>
          </w:tcPr>
          <w:p w:rsidR="001646BE" w:rsidRPr="003A4F00" w:rsidRDefault="001646BE" w:rsidP="003A4F00">
            <w:pPr>
              <w:spacing w:after="0"/>
              <w:rPr>
                <w:b/>
                <w:bCs/>
                <w:color w:val="000000"/>
                <w:sz w:val="20"/>
                <w:szCs w:val="20"/>
              </w:rPr>
            </w:pPr>
            <w:r w:rsidRPr="003A4F00">
              <w:rPr>
                <w:color w:val="000000"/>
                <w:sz w:val="20"/>
                <w:szCs w:val="20"/>
              </w:rPr>
              <w:t>SG9, SG10</w:t>
            </w:r>
          </w:p>
        </w:tc>
        <w:tc>
          <w:tcPr>
            <w:tcW w:w="4643" w:type="dxa"/>
            <w:shd w:val="clear" w:color="auto" w:fill="C0C0C0"/>
            <w:vAlign w:val="center"/>
          </w:tcPr>
          <w:p w:rsidR="001646BE" w:rsidRPr="003A4F00" w:rsidRDefault="001646BE" w:rsidP="003A4F00">
            <w:pPr>
              <w:spacing w:after="0"/>
              <w:rPr>
                <w:color w:val="000000"/>
                <w:sz w:val="20"/>
                <w:szCs w:val="20"/>
              </w:rPr>
            </w:pPr>
            <w:r w:rsidRPr="003A4F00">
              <w:rPr>
                <w:color w:val="000000"/>
                <w:sz w:val="20"/>
                <w:szCs w:val="20"/>
              </w:rPr>
              <w:t>BUDIMPEŠTA</w:t>
            </w:r>
          </w:p>
        </w:tc>
      </w:tr>
      <w:tr w:rsidR="001646BE" w:rsidRPr="003A4F00">
        <w:tc>
          <w:tcPr>
            <w:tcW w:w="4643" w:type="dxa"/>
            <w:vAlign w:val="center"/>
          </w:tcPr>
          <w:p w:rsidR="001646BE" w:rsidRPr="003A4F00" w:rsidRDefault="001646BE" w:rsidP="003A4F00">
            <w:pPr>
              <w:spacing w:after="0"/>
              <w:rPr>
                <w:b/>
                <w:bCs/>
                <w:color w:val="000000"/>
                <w:sz w:val="20"/>
                <w:szCs w:val="20"/>
              </w:rPr>
            </w:pPr>
            <w:r w:rsidRPr="003A4F00">
              <w:rPr>
                <w:color w:val="000000"/>
                <w:sz w:val="20"/>
                <w:szCs w:val="20"/>
              </w:rPr>
              <w:t>SG11</w:t>
            </w:r>
          </w:p>
        </w:tc>
        <w:tc>
          <w:tcPr>
            <w:tcW w:w="4643" w:type="dxa"/>
            <w:vAlign w:val="center"/>
          </w:tcPr>
          <w:p w:rsidR="001646BE" w:rsidRPr="003A4F00" w:rsidRDefault="001646BE" w:rsidP="003A4F00">
            <w:pPr>
              <w:spacing w:after="0"/>
              <w:rPr>
                <w:color w:val="000000"/>
                <w:sz w:val="20"/>
                <w:szCs w:val="20"/>
              </w:rPr>
            </w:pPr>
            <w:r w:rsidRPr="003A4F00">
              <w:rPr>
                <w:color w:val="000000"/>
                <w:sz w:val="20"/>
                <w:szCs w:val="20"/>
              </w:rPr>
              <w:t>BRATISLAVA</w:t>
            </w:r>
          </w:p>
        </w:tc>
      </w:tr>
      <w:tr w:rsidR="001646BE" w:rsidRPr="003A4F00">
        <w:tc>
          <w:tcPr>
            <w:tcW w:w="4643" w:type="dxa"/>
            <w:shd w:val="clear" w:color="auto" w:fill="C0C0C0"/>
            <w:vAlign w:val="center"/>
          </w:tcPr>
          <w:p w:rsidR="001646BE" w:rsidRPr="003A4F00" w:rsidRDefault="001646BE" w:rsidP="003A4F00">
            <w:pPr>
              <w:spacing w:after="0"/>
              <w:rPr>
                <w:b/>
                <w:bCs/>
                <w:color w:val="000000"/>
                <w:sz w:val="20"/>
                <w:szCs w:val="20"/>
              </w:rPr>
            </w:pPr>
            <w:r w:rsidRPr="003A4F00">
              <w:rPr>
                <w:color w:val="000000"/>
                <w:sz w:val="20"/>
                <w:szCs w:val="20"/>
              </w:rPr>
              <w:t>SG12, SG13</w:t>
            </w:r>
          </w:p>
        </w:tc>
        <w:tc>
          <w:tcPr>
            <w:tcW w:w="4643" w:type="dxa"/>
            <w:shd w:val="clear" w:color="auto" w:fill="C0C0C0"/>
            <w:vAlign w:val="center"/>
          </w:tcPr>
          <w:p w:rsidR="001646BE" w:rsidRPr="003A4F00" w:rsidRDefault="001646BE" w:rsidP="003A4F00">
            <w:pPr>
              <w:spacing w:after="0"/>
              <w:rPr>
                <w:color w:val="000000"/>
                <w:sz w:val="20"/>
                <w:szCs w:val="20"/>
              </w:rPr>
            </w:pPr>
            <w:r w:rsidRPr="003A4F00">
              <w:rPr>
                <w:color w:val="000000"/>
                <w:sz w:val="20"/>
                <w:szCs w:val="20"/>
              </w:rPr>
              <w:t>PRAG</w:t>
            </w:r>
          </w:p>
        </w:tc>
      </w:tr>
    </w:tbl>
    <w:p w:rsidR="001646BE" w:rsidRDefault="001646BE" w:rsidP="00E50FFA">
      <w:pPr>
        <w:rPr>
          <w:sz w:val="20"/>
          <w:szCs w:val="20"/>
        </w:rPr>
      </w:pPr>
      <w:r w:rsidRPr="004B6FF6">
        <w:rPr>
          <w:sz w:val="20"/>
          <w:szCs w:val="20"/>
        </w:rPr>
        <w:t>Izvor: FAB CE Project Management Office: Feasibility Study, Master Plan, 2008.</w:t>
      </w:r>
    </w:p>
    <w:p w:rsidR="001646BE" w:rsidRPr="004B6FF6" w:rsidRDefault="001646BE" w:rsidP="00E50FFA">
      <w:pPr>
        <w:spacing w:after="0" w:line="240" w:lineRule="auto"/>
        <w:rPr>
          <w:sz w:val="20"/>
          <w:szCs w:val="20"/>
        </w:rPr>
      </w:pPr>
    </w:p>
    <w:p w:rsidR="001646BE" w:rsidRPr="00195A2D" w:rsidRDefault="001646BE" w:rsidP="00C70ED3">
      <w:pPr>
        <w:ind w:firstLine="360"/>
      </w:pPr>
      <w:r>
        <w:t xml:space="preserve">Vidljivo je da ATS jedinica Zagreb ima tri grupe sektora pod svojom nadležnošću, te zajedno s ATS jedinicom Sarajevo (u scenariju dinamičkog područja odgovornosti) dijeli nadležnost nad grupom sektora 4 - ovisno o mogućnostima ATS jedinice Sarajevo. Navedenom raspodjelom, te činjenicom da se znatan broj kritičnih područja nalazi na širem </w:t>
      </w:r>
      <w:r>
        <w:lastRenderedPageBreak/>
        <w:t>zagrebačkom području, ATS jedinica Zagreb preuzima na sebe znatan dio odgovornosti unutar FAB-a CE. Slika 19 prikazuje kritična područja u FAB-u CE, dok slika 20 prikazuje trenutno stanje zagrebačkog FIR-a.</w:t>
      </w:r>
    </w:p>
    <w:p w:rsidR="001646BE" w:rsidRDefault="00E02CBE" w:rsidP="00DE4FD5">
      <w:pPr>
        <w:spacing w:after="0"/>
      </w:pPr>
      <w:r>
        <w:rPr>
          <w:noProof/>
          <w:lang w:eastAsia="hr-HR"/>
        </w:rPr>
        <w:drawing>
          <wp:inline distT="0" distB="0" distL="0" distR="0">
            <wp:extent cx="2533650" cy="202882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srcRect/>
                    <a:stretch>
                      <a:fillRect/>
                    </a:stretch>
                  </pic:blipFill>
                  <pic:spPr bwMode="auto">
                    <a:xfrm>
                      <a:off x="0" y="0"/>
                      <a:ext cx="2533650" cy="2028825"/>
                    </a:xfrm>
                    <a:prstGeom prst="rect">
                      <a:avLst/>
                    </a:prstGeom>
                    <a:noFill/>
                    <a:ln w="9525">
                      <a:noFill/>
                      <a:miter lim="800000"/>
                      <a:headEnd/>
                      <a:tailEnd/>
                    </a:ln>
                  </pic:spPr>
                </pic:pic>
              </a:graphicData>
            </a:graphic>
          </wp:inline>
        </w:drawing>
      </w:r>
      <w:r w:rsidR="001646BE">
        <w:t xml:space="preserve">            </w:t>
      </w:r>
      <w:r>
        <w:rPr>
          <w:noProof/>
          <w:lang w:eastAsia="hr-HR"/>
        </w:rPr>
        <w:drawing>
          <wp:inline distT="0" distB="0" distL="0" distR="0">
            <wp:extent cx="2533650" cy="1990725"/>
            <wp:effectExtent l="19050" t="0" r="0" b="0"/>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srcRect/>
                    <a:stretch>
                      <a:fillRect/>
                    </a:stretch>
                  </pic:blipFill>
                  <pic:spPr bwMode="auto">
                    <a:xfrm>
                      <a:off x="0" y="0"/>
                      <a:ext cx="2533650" cy="1990725"/>
                    </a:xfrm>
                    <a:prstGeom prst="rect">
                      <a:avLst/>
                    </a:prstGeom>
                    <a:noFill/>
                    <a:ln w="9525">
                      <a:noFill/>
                      <a:miter lim="800000"/>
                      <a:headEnd/>
                      <a:tailEnd/>
                    </a:ln>
                  </pic:spPr>
                </pic:pic>
              </a:graphicData>
            </a:graphic>
          </wp:inline>
        </w:drawing>
      </w:r>
    </w:p>
    <w:p w:rsidR="001646BE" w:rsidRPr="00DE4FD5" w:rsidRDefault="001646BE" w:rsidP="00DE4FD5">
      <w:pPr>
        <w:spacing w:after="0"/>
        <w:rPr>
          <w:b/>
          <w:bCs/>
          <w:sz w:val="20"/>
          <w:szCs w:val="20"/>
        </w:rPr>
      </w:pPr>
      <w:r w:rsidRPr="00DE4FD5">
        <w:rPr>
          <w:b/>
          <w:bCs/>
          <w:sz w:val="20"/>
          <w:szCs w:val="20"/>
        </w:rPr>
        <w:t>Slika 19</w:t>
      </w:r>
      <w:r>
        <w:rPr>
          <w:b/>
          <w:bCs/>
          <w:sz w:val="20"/>
          <w:szCs w:val="20"/>
        </w:rPr>
        <w:t>: kritična područja u FAB- CE</w:t>
      </w:r>
      <w:r w:rsidRPr="00DE4FD5">
        <w:rPr>
          <w:b/>
          <w:bCs/>
          <w:sz w:val="20"/>
          <w:szCs w:val="20"/>
        </w:rPr>
        <w:tab/>
      </w:r>
      <w:r w:rsidRPr="00DE4FD5">
        <w:rPr>
          <w:b/>
          <w:bCs/>
          <w:sz w:val="20"/>
          <w:szCs w:val="20"/>
        </w:rPr>
        <w:tab/>
        <w:t xml:space="preserve">           S</w:t>
      </w:r>
      <w:r>
        <w:rPr>
          <w:b/>
          <w:bCs/>
          <w:sz w:val="20"/>
          <w:szCs w:val="20"/>
        </w:rPr>
        <w:t xml:space="preserve">lika 20: </w:t>
      </w:r>
      <w:r w:rsidRPr="00DE4FD5">
        <w:rPr>
          <w:b/>
          <w:bCs/>
          <w:sz w:val="20"/>
          <w:szCs w:val="20"/>
        </w:rPr>
        <w:t>trenutno stanje zagrebačkog FIR-a.</w:t>
      </w:r>
    </w:p>
    <w:p w:rsidR="001646BE" w:rsidRDefault="001646BE" w:rsidP="00DE4FD5">
      <w:pPr>
        <w:spacing w:after="0"/>
        <w:rPr>
          <w:sz w:val="20"/>
          <w:szCs w:val="20"/>
        </w:rPr>
      </w:pPr>
      <w:r>
        <w:rPr>
          <w:sz w:val="20"/>
          <w:szCs w:val="20"/>
        </w:rPr>
        <w:t xml:space="preserve">Izvor: </w:t>
      </w:r>
      <w:r w:rsidRPr="00F57BC3">
        <w:rPr>
          <w:sz w:val="20"/>
          <w:szCs w:val="20"/>
        </w:rPr>
        <w:t xml:space="preserve">FAB CE Project Management Office: </w:t>
      </w:r>
      <w:r>
        <w:rPr>
          <w:sz w:val="20"/>
          <w:szCs w:val="20"/>
        </w:rPr>
        <w:t xml:space="preserve">                        Izvor: HKZP</w:t>
      </w:r>
    </w:p>
    <w:p w:rsidR="001646BE" w:rsidRDefault="001646BE" w:rsidP="00DE4FD5">
      <w:pPr>
        <w:spacing w:after="0"/>
        <w:rPr>
          <w:sz w:val="20"/>
          <w:szCs w:val="20"/>
        </w:rPr>
      </w:pPr>
      <w:r w:rsidRPr="00F57BC3">
        <w:rPr>
          <w:sz w:val="20"/>
          <w:szCs w:val="20"/>
        </w:rPr>
        <w:t>Feasibility Study, Master Plan, 2008</w:t>
      </w:r>
      <w:r>
        <w:rPr>
          <w:sz w:val="20"/>
          <w:szCs w:val="20"/>
        </w:rPr>
        <w:t>.</w:t>
      </w:r>
    </w:p>
    <w:p w:rsidR="001646BE" w:rsidRDefault="001646BE" w:rsidP="00DE4FD5">
      <w:pPr>
        <w:spacing w:line="240" w:lineRule="auto"/>
        <w:rPr>
          <w:sz w:val="20"/>
          <w:szCs w:val="20"/>
        </w:rPr>
      </w:pPr>
    </w:p>
    <w:p w:rsidR="001646BE" w:rsidRDefault="001646BE" w:rsidP="00DE4FD5">
      <w:pPr>
        <w:ind w:firstLine="709"/>
      </w:pPr>
      <w:r>
        <w:t xml:space="preserve">Scenarij statičkog područja odgovornosti također se sastoji od tri faze: faza definicije, faza razvoja i faza implementacije. Faza definicije neće započeti prije negoli su ISB i ANSP odbori uspostavljeni, dok će se razvoj statičkog scenarija provoditi nakon potpisivanja FAB CE sporazuma. Implementacija statičkog scenarija aktivira se ratifikacijom FAB CE sporazuma. Kako bi se statički scenarij implementirao (faza implementacije), ključan uvjet je da strukture i tijela, na razinama zemalja članica, koja su bila ovlaštena donositi odluke, prenesu ovlasti na upravljačka tijela nadležna za čitav FAB CE. Ključan uvjet faze definicije jest definiranje tehničkih zahtjeva za uspostavu statičkog scenarija FAB-a CE. U trenutku kad se ispune uvjeti za uspostavu, FAB CE proglašava se operativnim. </w:t>
      </w:r>
    </w:p>
    <w:p w:rsidR="001646BE" w:rsidRDefault="001646BE" w:rsidP="00DE4FD5">
      <w:pPr>
        <w:ind w:firstLine="709"/>
      </w:pPr>
    </w:p>
    <w:p w:rsidR="001646BE" w:rsidRDefault="001646BE" w:rsidP="00DE4FD5">
      <w:pPr>
        <w:ind w:firstLine="709"/>
      </w:pPr>
    </w:p>
    <w:p w:rsidR="001646BE" w:rsidRDefault="001646BE" w:rsidP="00DE4FD5">
      <w:pPr>
        <w:ind w:firstLine="709"/>
      </w:pPr>
    </w:p>
    <w:p w:rsidR="001646BE" w:rsidRDefault="001646BE" w:rsidP="00DE4FD5">
      <w:pPr>
        <w:ind w:firstLine="709"/>
      </w:pPr>
    </w:p>
    <w:p w:rsidR="001646BE" w:rsidRDefault="001646BE" w:rsidP="00DE4FD5">
      <w:pPr>
        <w:ind w:firstLine="709"/>
      </w:pPr>
    </w:p>
    <w:p w:rsidR="001646BE" w:rsidRDefault="001646BE" w:rsidP="00DE4FD5">
      <w:pPr>
        <w:ind w:firstLine="709"/>
      </w:pPr>
    </w:p>
    <w:p w:rsidR="001646BE" w:rsidRDefault="001646BE" w:rsidP="00901C84">
      <w:pPr>
        <w:pStyle w:val="Heading3"/>
      </w:pPr>
      <w:bookmarkStart w:id="51" w:name="_Toc296339040"/>
      <w:r>
        <w:lastRenderedPageBreak/>
        <w:t>4.3.3</w:t>
      </w:r>
      <w:r>
        <w:tab/>
        <w:t>SCENARIJ DINAMIČKOG PODRUČJA ODGOVORNOSTI</w:t>
      </w:r>
      <w:bookmarkEnd w:id="51"/>
    </w:p>
    <w:p w:rsidR="001646BE" w:rsidRPr="000C53A8" w:rsidRDefault="001646BE" w:rsidP="00901C84"/>
    <w:p w:rsidR="001646BE" w:rsidRDefault="001646BE" w:rsidP="00901C84">
      <w:pPr>
        <w:ind w:firstLine="360"/>
      </w:pPr>
      <w:r>
        <w:t xml:space="preserve">Scenarijem dinamičkog područja odgovornosti osigurava se daljnja optimizacija resursa različitih ATS jedinica. U slučaju dinamičkog scenarija, unaprijed određena konfiguracija sektora definirana NOP-om (koja može podrazumijevati odgovornost nekoliko susjednih ATS jedinica za pojedinu grupu sektora) primjenjuje se na tjednoj ili dnevnoj bazi, te je za razliku od statičkog scenarija vrijeme valjanosti konfiguracijskih planova puno kraće. </w:t>
      </w:r>
    </w:p>
    <w:p w:rsidR="001646BE" w:rsidRDefault="001646BE" w:rsidP="00901C84">
      <w:pPr>
        <w:ind w:firstLine="360"/>
      </w:pPr>
      <w:r>
        <w:t xml:space="preserve">Shema konfiguracijskih planova sektora određena je unaprijed kao i vremena valjanosti istih. Prijenos odgovornosti za pojedinu grupu sektora između ATS jedinica treba se provoditi glatko i bez ugrožavanja sigurnosti, te treba u svakom trenutku biti svima jasno pod čijom je odgovornošću grupa sektora. Prema tome, za pojedinu grupu sektora može biti odgovorno više ATS jedinica, te se prijenos odgovornosti između ATS jedinica i promjena konfiguracije sektora odvija u frekventnim intervalima (za razliku od statičkog scenarija gdje se isti proces odvija svakih 6 mjeseci ili sl.) prema unaprijed isplaniranom rasporedu. Promjene konfiguracije sektora i prijenos odgovornosti može se odvijati u trenucima kada je promet u sektoru golem, stoga je neprihvatljivo, iz sigurnosne perspektive, bilo kakva smetnja koja bi mogla ugroziti spomenuti proces i, posredno, sigurnost zračnog prometa. Iz tog razloga, potrebno je uložiti dodatna sredstva u nabavu tehničke opreme potrebne za izvođenje spomenutog procesa. </w:t>
      </w:r>
    </w:p>
    <w:p w:rsidR="001646BE" w:rsidRDefault="001646BE" w:rsidP="00901C84">
      <w:pPr>
        <w:ind w:firstLine="360"/>
      </w:pPr>
      <w:r>
        <w:t>Potrebna je i visoka razina organizacije ljudskih potencijala, kako bi se osiguralo dovoljan broj raspoloživog osoblja u uvjetima dinamičkih promjena konfiguracije sektora, nadležnosti ATS jedinica i sl.  Potrebno je osigurati i usklađenost procedura i regulativa između ATS jedinica i grupa sektora u kojima više od jedne ATS jedinice pruža usluge u zračnoj plovidbi. U pogledu financijskog planiranja i raspodjele dobiti, ANSP-i trebaju postići dogovor o preraspodjeli troškova i dobiti u uvjetima dinamičke preraspodjele odgovornosti [23].</w:t>
      </w:r>
    </w:p>
    <w:p w:rsidR="001646BE" w:rsidRDefault="001646BE" w:rsidP="00901C84">
      <w:pPr>
        <w:ind w:firstLine="360"/>
      </w:pPr>
      <w:r>
        <w:t>Primjena dinamičkog područja odgovornosti treba se koristiti samo u slučajevima kada je to operativno i ekonomski opravdano te na zahtjev članica, tj. u sljedećim situacijama:</w:t>
      </w:r>
    </w:p>
    <w:p w:rsidR="001646BE" w:rsidRDefault="001646BE" w:rsidP="00901C84">
      <w:pPr>
        <w:pStyle w:val="ListParagraph"/>
        <w:numPr>
          <w:ilvl w:val="0"/>
          <w:numId w:val="28"/>
        </w:numPr>
      </w:pPr>
      <w:r>
        <w:t>kako bi se prevladao manjak kapaciteta u određenoj grupi sektora uz pomoć susjednih ATS jednica, bez otvaranja dodatnih sektora,</w:t>
      </w:r>
    </w:p>
    <w:p w:rsidR="001646BE" w:rsidRDefault="001646BE" w:rsidP="00901C84">
      <w:pPr>
        <w:pStyle w:val="ListParagraph"/>
        <w:numPr>
          <w:ilvl w:val="0"/>
          <w:numId w:val="28"/>
        </w:numPr>
      </w:pPr>
      <w:r>
        <w:t>kako bi se osigurala troškovno efektivnija upotreba resursa između partnera unutar grupa sektora.</w:t>
      </w:r>
    </w:p>
    <w:p w:rsidR="001646BE" w:rsidRPr="004E1982" w:rsidRDefault="001646BE" w:rsidP="00901C84">
      <w:pPr>
        <w:ind w:firstLine="360"/>
      </w:pPr>
      <w:r>
        <w:lastRenderedPageBreak/>
        <w:t>Primjer dinamičkog područja odgovornosti prikazan je na slici 21, gdje ATS jedinice A i B, koje upravljaju sektorima 3 i 1, naizmjence dinamički preuzimaju odgovornost nad sektorom 2. Prema istom principu bi trebale ATS jedinice Zagreb i Sarajevo surađivati u FAB-u CE.</w:t>
      </w:r>
    </w:p>
    <w:p w:rsidR="001646BE" w:rsidRPr="004A0CC0" w:rsidRDefault="00E02CBE" w:rsidP="00901C84">
      <w:pPr>
        <w:spacing w:after="0"/>
        <w:jc w:val="left"/>
        <w:rPr>
          <w:sz w:val="20"/>
          <w:szCs w:val="20"/>
        </w:rPr>
      </w:pPr>
      <w:r>
        <w:rPr>
          <w:noProof/>
          <w:sz w:val="20"/>
          <w:szCs w:val="20"/>
          <w:lang w:eastAsia="hr-HR"/>
        </w:rPr>
        <w:drawing>
          <wp:inline distT="0" distB="0" distL="0" distR="0">
            <wp:extent cx="2981325" cy="2562225"/>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srcRect/>
                    <a:stretch>
                      <a:fillRect/>
                    </a:stretch>
                  </pic:blipFill>
                  <pic:spPr bwMode="auto">
                    <a:xfrm>
                      <a:off x="0" y="0"/>
                      <a:ext cx="2981325" cy="2562225"/>
                    </a:xfrm>
                    <a:prstGeom prst="rect">
                      <a:avLst/>
                    </a:prstGeom>
                    <a:noFill/>
                    <a:ln w="9525">
                      <a:noFill/>
                      <a:miter lim="800000"/>
                      <a:headEnd/>
                      <a:tailEnd/>
                    </a:ln>
                  </pic:spPr>
                </pic:pic>
              </a:graphicData>
            </a:graphic>
          </wp:inline>
        </w:drawing>
      </w:r>
    </w:p>
    <w:p w:rsidR="001646BE" w:rsidRPr="00901C84" w:rsidRDefault="001646BE" w:rsidP="00901C84">
      <w:pPr>
        <w:spacing w:after="0"/>
        <w:jc w:val="left"/>
        <w:rPr>
          <w:b/>
          <w:bCs/>
          <w:sz w:val="20"/>
          <w:szCs w:val="20"/>
        </w:rPr>
      </w:pPr>
      <w:r>
        <w:rPr>
          <w:b/>
          <w:bCs/>
          <w:sz w:val="20"/>
          <w:szCs w:val="20"/>
        </w:rPr>
        <w:t xml:space="preserve">Slika 21: </w:t>
      </w:r>
      <w:r w:rsidRPr="00901C84">
        <w:rPr>
          <w:b/>
          <w:bCs/>
          <w:sz w:val="20"/>
          <w:szCs w:val="20"/>
        </w:rPr>
        <w:t xml:space="preserve">primjer dinamičkog  </w:t>
      </w:r>
      <w:r>
        <w:rPr>
          <w:b/>
          <w:bCs/>
          <w:sz w:val="20"/>
          <w:szCs w:val="20"/>
        </w:rPr>
        <w:t>područja odgovornosti FAB-a CE.</w:t>
      </w:r>
    </w:p>
    <w:p w:rsidR="001646BE" w:rsidRDefault="001646BE" w:rsidP="00901C84">
      <w:pPr>
        <w:spacing w:after="0"/>
        <w:jc w:val="left"/>
        <w:rPr>
          <w:sz w:val="20"/>
          <w:szCs w:val="20"/>
        </w:rPr>
      </w:pPr>
      <w:r w:rsidRPr="004A0CC0">
        <w:rPr>
          <w:sz w:val="20"/>
          <w:szCs w:val="20"/>
        </w:rPr>
        <w:t>Izvor: FAB CE Project Management Office: Feasibility Study, Master Plan, 2008.</w:t>
      </w:r>
    </w:p>
    <w:p w:rsidR="001646BE" w:rsidRDefault="001646BE" w:rsidP="00901C84">
      <w:pPr>
        <w:spacing w:after="0"/>
        <w:rPr>
          <w:b/>
          <w:bCs/>
        </w:rPr>
      </w:pPr>
    </w:p>
    <w:p w:rsidR="001646BE" w:rsidRDefault="001646BE" w:rsidP="00576524">
      <w:pPr>
        <w:ind w:firstLine="360"/>
      </w:pPr>
      <w:r>
        <w:t xml:space="preserve">Scenarij dinamičkog područja odgovornosti, kao i prethodna dva scenarija, sastoji se od tri faze: faza definicije, faza razvoja i faza implementacije. Dinamički scenarij može se uspostaviti tek kada je statički scenarij operativan i kada je FAB sporazum na snazi. Odluka o uspostavi dinamičkog scenarija donosi se ukoliko se u specifičnim područjima FAB-a javlja mogućnost ostvarivanja dodatne dobiti implementacijom istog. Nisu potrebne nikakve promjene u </w:t>
      </w:r>
      <w:r w:rsidR="004346EF">
        <w:t>regulativni</w:t>
      </w:r>
      <w:r>
        <w:t>m i upravljačkim strukturama kako bi se uspostavio dinamički scenarij u FAB-u CE. Faza razvoja dinamičkog scenarija započinje pripremom uspješnog poslovnog okvira djelovanja, te interesom dviju ili više zemalja članica FAB-a za uspostavom dinamičkog scenarija. Implementacija dinamičkog scenarija zahtijeva znatna tehnička ulaganja i ispunjavanje velikog broja tehničkih uvjeta. Iz tog razloga, realno je očekivati da će se uspješan poslovni okvir implementacije dinamičkog scenarija moći izraditi i provesti tek nakon što je SESAR platforma uspostavljena i na snazi. Sustavi SESAR platforme znatno će pojednostaviti tehnička pitanja i ispuniti ili olakšati ispunjavanje većine zahtjeva potrebnih za implementaciju dinamičkog scenarija</w:t>
      </w:r>
      <w:r w:rsidRPr="00B728E7">
        <w:t xml:space="preserve"> </w:t>
      </w:r>
      <w:r>
        <w:t>[23].</w:t>
      </w:r>
    </w:p>
    <w:p w:rsidR="001646BE" w:rsidRDefault="001646BE" w:rsidP="00576524">
      <w:pPr>
        <w:ind w:firstLine="360"/>
      </w:pPr>
    </w:p>
    <w:p w:rsidR="001646BE" w:rsidRDefault="001646BE" w:rsidP="00576524">
      <w:pPr>
        <w:ind w:firstLine="360"/>
      </w:pPr>
    </w:p>
    <w:p w:rsidR="001646BE" w:rsidRPr="00070472" w:rsidRDefault="001646BE" w:rsidP="00901C84">
      <w:pPr>
        <w:ind w:firstLine="360"/>
      </w:pPr>
      <w:r>
        <w:lastRenderedPageBreak/>
        <w:t xml:space="preserve">Operativno djelovanje kroz uspostavu statičkog scenarija očekuje se 2012. godine. Napredno funkcioniranje FAB-a CE nije realno prije 2015. godine, te je vrlo vjerojatno da će daljnji razvoj FAB-a uvelike ovisiti o implementaciji SESAR platforme. Dijagram 2 prikazuje projekciju razvoja FAB-a CE za razdoblje 2008. - 2015. godine. </w:t>
      </w:r>
    </w:p>
    <w:p w:rsidR="001646BE" w:rsidRDefault="00E02CBE" w:rsidP="00901C84">
      <w:pPr>
        <w:spacing w:after="0"/>
        <w:rPr>
          <w:b/>
          <w:bCs/>
        </w:rPr>
      </w:pPr>
      <w:r>
        <w:rPr>
          <w:b/>
          <w:bCs/>
          <w:noProof/>
          <w:lang w:eastAsia="hr-HR"/>
        </w:rPr>
        <w:drawing>
          <wp:inline distT="0" distB="0" distL="0" distR="0">
            <wp:extent cx="5391150" cy="325755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srcRect/>
                    <a:stretch>
                      <a:fillRect/>
                    </a:stretch>
                  </pic:blipFill>
                  <pic:spPr bwMode="auto">
                    <a:xfrm>
                      <a:off x="0" y="0"/>
                      <a:ext cx="5391150" cy="3257550"/>
                    </a:xfrm>
                    <a:prstGeom prst="rect">
                      <a:avLst/>
                    </a:prstGeom>
                    <a:noFill/>
                    <a:ln w="9525">
                      <a:noFill/>
                      <a:miter lim="800000"/>
                      <a:headEnd/>
                      <a:tailEnd/>
                    </a:ln>
                  </pic:spPr>
                </pic:pic>
              </a:graphicData>
            </a:graphic>
          </wp:inline>
        </w:drawing>
      </w:r>
    </w:p>
    <w:p w:rsidR="001646BE" w:rsidRPr="00901C84" w:rsidRDefault="001646BE" w:rsidP="00901C84">
      <w:pPr>
        <w:spacing w:after="0"/>
        <w:rPr>
          <w:b/>
          <w:bCs/>
          <w:sz w:val="20"/>
          <w:szCs w:val="20"/>
        </w:rPr>
      </w:pPr>
      <w:r>
        <w:rPr>
          <w:b/>
          <w:bCs/>
          <w:sz w:val="20"/>
          <w:szCs w:val="20"/>
        </w:rPr>
        <w:t xml:space="preserve">Dijagram 2: </w:t>
      </w:r>
      <w:r w:rsidRPr="00901C84">
        <w:rPr>
          <w:b/>
          <w:bCs/>
          <w:sz w:val="20"/>
          <w:szCs w:val="20"/>
        </w:rPr>
        <w:t>vremenski okvir raz</w:t>
      </w:r>
      <w:r>
        <w:rPr>
          <w:b/>
          <w:bCs/>
          <w:sz w:val="20"/>
          <w:szCs w:val="20"/>
        </w:rPr>
        <w:t>voja FAB-a CE</w:t>
      </w:r>
      <w:r w:rsidRPr="00901C84">
        <w:rPr>
          <w:b/>
          <w:bCs/>
          <w:sz w:val="20"/>
          <w:szCs w:val="20"/>
        </w:rPr>
        <w:t>.</w:t>
      </w:r>
    </w:p>
    <w:p w:rsidR="001646BE" w:rsidRDefault="001646BE" w:rsidP="00901C84">
      <w:pPr>
        <w:spacing w:after="0"/>
        <w:rPr>
          <w:sz w:val="20"/>
          <w:szCs w:val="20"/>
        </w:rPr>
      </w:pPr>
      <w:r w:rsidRPr="00141834">
        <w:rPr>
          <w:sz w:val="20"/>
          <w:szCs w:val="20"/>
        </w:rPr>
        <w:t>Izvor: FAB CE Project Management Office: Feasibility Study, Master Plan, 2008.</w:t>
      </w:r>
      <w:r w:rsidRPr="00141834">
        <w:rPr>
          <w:sz w:val="20"/>
          <w:szCs w:val="20"/>
        </w:rPr>
        <w:tab/>
      </w:r>
    </w:p>
    <w:p w:rsidR="001646BE" w:rsidRDefault="001646BE" w:rsidP="00901C84">
      <w:pPr>
        <w:spacing w:after="0" w:line="240" w:lineRule="auto"/>
        <w:rPr>
          <w:sz w:val="20"/>
          <w:szCs w:val="20"/>
        </w:rPr>
      </w:pPr>
    </w:p>
    <w:p w:rsidR="001646BE" w:rsidRDefault="001646BE" w:rsidP="00576524">
      <w:pPr>
        <w:ind w:firstLine="360"/>
      </w:pPr>
      <w:r>
        <w:t>U navedenom vremenskom razdoblju, prema provedenim studijama, nije identificirana niti jedna kritična prepreka implementaciji FAB-a CE, međutim postoje određeni rizici koji su definirani kao opći rizici, financijski rizici, pravni rizici, sigurnosni rizici, rizici operativnih performansi, implementacijski rizici i rizici ljudskih potencijala.</w:t>
      </w:r>
    </w:p>
    <w:p w:rsidR="001646BE" w:rsidRDefault="001646BE" w:rsidP="00885088">
      <w:pPr>
        <w:spacing w:after="0"/>
        <w:ind w:firstLine="360"/>
      </w:pPr>
      <w:r>
        <w:t>Predviđeni koraci u procesu donošenja odluka, kod uspostave FAB-a, sastoje se od:</w:t>
      </w:r>
    </w:p>
    <w:p w:rsidR="001646BE" w:rsidRDefault="001646BE" w:rsidP="00B95840">
      <w:pPr>
        <w:pStyle w:val="ListParagraph"/>
        <w:numPr>
          <w:ilvl w:val="0"/>
          <w:numId w:val="31"/>
        </w:numPr>
        <w:spacing w:after="0"/>
      </w:pPr>
      <w:r>
        <w:t>odluke FAB CE SG</w:t>
      </w:r>
      <w:r>
        <w:rPr>
          <w:rStyle w:val="FootnoteReference"/>
        </w:rPr>
        <w:footnoteReference w:id="39"/>
      </w:r>
      <w:r>
        <w:t>-a (izjašnjavanje o rezultatima studije),</w:t>
      </w:r>
    </w:p>
    <w:p w:rsidR="001646BE" w:rsidRDefault="001646BE" w:rsidP="00B95840">
      <w:pPr>
        <w:pStyle w:val="ListParagraph"/>
        <w:numPr>
          <w:ilvl w:val="0"/>
          <w:numId w:val="31"/>
        </w:numPr>
        <w:spacing w:after="0"/>
      </w:pPr>
      <w:r>
        <w:t>odluke CCG</w:t>
      </w:r>
      <w:r>
        <w:rPr>
          <w:rStyle w:val="FootnoteReference"/>
        </w:rPr>
        <w:footnoteReference w:id="40"/>
      </w:r>
      <w:r>
        <w:t>-a (na temelju preporuka FAB CE SG-a, CCG se izjašnjava o FAB CE studiji),</w:t>
      </w:r>
    </w:p>
    <w:p w:rsidR="001646BE" w:rsidRDefault="001646BE" w:rsidP="00B95840">
      <w:pPr>
        <w:pStyle w:val="ListParagraph"/>
        <w:numPr>
          <w:ilvl w:val="0"/>
          <w:numId w:val="31"/>
        </w:numPr>
        <w:spacing w:after="0"/>
      </w:pPr>
      <w:r>
        <w:t>odluke zemalja članica o ustroju FAB-a CE (pristup FAB-u, budžet, ustroj ISB-a),</w:t>
      </w:r>
    </w:p>
    <w:p w:rsidR="001646BE" w:rsidRDefault="001646BE" w:rsidP="00B95840">
      <w:pPr>
        <w:pStyle w:val="ListParagraph"/>
        <w:numPr>
          <w:ilvl w:val="0"/>
          <w:numId w:val="31"/>
        </w:numPr>
        <w:spacing w:after="0"/>
      </w:pPr>
      <w:r>
        <w:t>proces konzultiranja (zemlje članice, ANSP-i, ISB, vojska),</w:t>
      </w:r>
    </w:p>
    <w:p w:rsidR="001646BE" w:rsidRDefault="001646BE" w:rsidP="00B95840">
      <w:pPr>
        <w:pStyle w:val="ListParagraph"/>
        <w:numPr>
          <w:ilvl w:val="0"/>
          <w:numId w:val="31"/>
        </w:numPr>
      </w:pPr>
      <w:r>
        <w:t>potpisivanje FAB CE sporazuma (zemlje članice potpisuju FAB CE sporazum)</w:t>
      </w:r>
      <w:r w:rsidRPr="00B728E7">
        <w:t xml:space="preserve"> </w:t>
      </w:r>
      <w:r>
        <w:t>[23].</w:t>
      </w:r>
    </w:p>
    <w:p w:rsidR="001646BE" w:rsidRDefault="001646BE" w:rsidP="00B95840">
      <w:pPr>
        <w:spacing w:after="0"/>
      </w:pPr>
      <w:r>
        <w:lastRenderedPageBreak/>
        <w:t>Slika 23 prikazuje proces donošenja odluka i sporazuma o uspostavi FAB-a CE.</w:t>
      </w:r>
    </w:p>
    <w:p w:rsidR="001646BE" w:rsidRDefault="00E02CBE" w:rsidP="007706D9">
      <w:pPr>
        <w:spacing w:after="0"/>
        <w:rPr>
          <w:sz w:val="20"/>
          <w:szCs w:val="20"/>
        </w:rPr>
      </w:pPr>
      <w:r>
        <w:rPr>
          <w:noProof/>
          <w:sz w:val="20"/>
          <w:szCs w:val="20"/>
          <w:lang w:eastAsia="hr-HR"/>
        </w:rPr>
        <w:drawing>
          <wp:inline distT="0" distB="0" distL="0" distR="0">
            <wp:extent cx="3848100" cy="2867025"/>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srcRect/>
                    <a:stretch>
                      <a:fillRect/>
                    </a:stretch>
                  </pic:blipFill>
                  <pic:spPr bwMode="auto">
                    <a:xfrm>
                      <a:off x="0" y="0"/>
                      <a:ext cx="3848100" cy="2867025"/>
                    </a:xfrm>
                    <a:prstGeom prst="rect">
                      <a:avLst/>
                    </a:prstGeom>
                    <a:noFill/>
                    <a:ln w="9525">
                      <a:noFill/>
                      <a:miter lim="800000"/>
                      <a:headEnd/>
                      <a:tailEnd/>
                    </a:ln>
                  </pic:spPr>
                </pic:pic>
              </a:graphicData>
            </a:graphic>
          </wp:inline>
        </w:drawing>
      </w:r>
    </w:p>
    <w:p w:rsidR="001646BE" w:rsidRPr="007706D9" w:rsidRDefault="001646BE" w:rsidP="007706D9">
      <w:pPr>
        <w:spacing w:after="0"/>
        <w:rPr>
          <w:b/>
          <w:bCs/>
          <w:sz w:val="20"/>
          <w:szCs w:val="20"/>
        </w:rPr>
      </w:pPr>
      <w:r>
        <w:rPr>
          <w:b/>
          <w:bCs/>
          <w:sz w:val="20"/>
          <w:szCs w:val="20"/>
        </w:rPr>
        <w:t xml:space="preserve">Slika 23: </w:t>
      </w:r>
      <w:r w:rsidRPr="007706D9">
        <w:rPr>
          <w:b/>
          <w:bCs/>
          <w:sz w:val="20"/>
          <w:szCs w:val="20"/>
        </w:rPr>
        <w:t>proces dono</w:t>
      </w:r>
      <w:r>
        <w:rPr>
          <w:b/>
          <w:bCs/>
          <w:sz w:val="20"/>
          <w:szCs w:val="20"/>
        </w:rPr>
        <w:t>šenja odluka i sporazuma FAB-a CE</w:t>
      </w:r>
      <w:r w:rsidRPr="007706D9">
        <w:rPr>
          <w:b/>
          <w:bCs/>
          <w:sz w:val="20"/>
          <w:szCs w:val="20"/>
        </w:rPr>
        <w:t>.</w:t>
      </w:r>
    </w:p>
    <w:p w:rsidR="001646BE" w:rsidRDefault="001646BE" w:rsidP="007706D9">
      <w:pPr>
        <w:spacing w:after="0"/>
        <w:rPr>
          <w:sz w:val="20"/>
          <w:szCs w:val="20"/>
        </w:rPr>
      </w:pPr>
      <w:r w:rsidRPr="00141834">
        <w:rPr>
          <w:sz w:val="20"/>
          <w:szCs w:val="20"/>
        </w:rPr>
        <w:t>Izvor: FAB CE Project Management Office: Feasibility Study, Master Plan, 2008.</w:t>
      </w:r>
      <w:r w:rsidRPr="00141834">
        <w:rPr>
          <w:sz w:val="20"/>
          <w:szCs w:val="20"/>
        </w:rPr>
        <w:tab/>
      </w:r>
    </w:p>
    <w:p w:rsidR="001646BE" w:rsidRDefault="001646BE" w:rsidP="007706D9">
      <w:pPr>
        <w:spacing w:after="0"/>
        <w:rPr>
          <w:sz w:val="20"/>
          <w:szCs w:val="20"/>
        </w:rPr>
      </w:pPr>
    </w:p>
    <w:p w:rsidR="001646BE" w:rsidRDefault="001646BE" w:rsidP="00576524">
      <w:pPr>
        <w:ind w:firstLine="360"/>
      </w:pPr>
      <w:r>
        <w:t>Sporazum o uspostavi FAB-a CE potpisan je 5. svibnja 2011. godine u Brdu u Sloveniji. Sporazum je potpisan na ministarskoj razini, te su ga potpisale sve zemlje članice, dakle  predstavnici Hrvatske, Austrije, Bosne i Hercegovine, Češke, Mađarske, Slovačke i Slovenije [25].</w:t>
      </w:r>
    </w:p>
    <w:p w:rsidR="001646BE" w:rsidRDefault="001646BE" w:rsidP="009F5918">
      <w:pPr>
        <w:ind w:firstLine="360"/>
      </w:pPr>
    </w:p>
    <w:p w:rsidR="001646BE" w:rsidRDefault="001646BE" w:rsidP="00930376">
      <w:pPr>
        <w:ind w:firstLine="360"/>
      </w:pPr>
    </w:p>
    <w:p w:rsidR="001646BE" w:rsidRDefault="001646BE" w:rsidP="00930376">
      <w:pPr>
        <w:ind w:firstLine="360"/>
      </w:pPr>
    </w:p>
    <w:p w:rsidR="001646BE" w:rsidRDefault="001646BE" w:rsidP="00930376">
      <w:pPr>
        <w:ind w:firstLine="360"/>
      </w:pPr>
    </w:p>
    <w:p w:rsidR="001646BE" w:rsidRDefault="001646BE" w:rsidP="00930376">
      <w:pPr>
        <w:ind w:firstLine="360"/>
      </w:pPr>
    </w:p>
    <w:p w:rsidR="001646BE" w:rsidRDefault="001646BE" w:rsidP="00930376">
      <w:pPr>
        <w:ind w:firstLine="360"/>
      </w:pPr>
    </w:p>
    <w:p w:rsidR="001646BE" w:rsidRDefault="001646BE" w:rsidP="00930376">
      <w:pPr>
        <w:ind w:firstLine="360"/>
      </w:pPr>
    </w:p>
    <w:p w:rsidR="001646BE" w:rsidRDefault="001646BE" w:rsidP="00930376">
      <w:pPr>
        <w:ind w:firstLine="360"/>
      </w:pPr>
    </w:p>
    <w:p w:rsidR="001646BE" w:rsidRPr="004B6FF6" w:rsidRDefault="001646BE" w:rsidP="004B6FF6">
      <w:pPr>
        <w:spacing w:line="240" w:lineRule="auto"/>
        <w:rPr>
          <w:sz w:val="20"/>
          <w:szCs w:val="20"/>
        </w:rPr>
      </w:pPr>
    </w:p>
    <w:p w:rsidR="001646BE" w:rsidRDefault="001646BE" w:rsidP="009F662C">
      <w:pPr>
        <w:pStyle w:val="Heading2"/>
        <w:ind w:left="709" w:hanging="709"/>
      </w:pPr>
      <w:bookmarkStart w:id="52" w:name="_Toc296339041"/>
      <w:r>
        <w:lastRenderedPageBreak/>
        <w:t>4.4</w:t>
      </w:r>
      <w:r>
        <w:tab/>
        <w:t>INSTITUCIONALNI USTROJ FUNKCIONALNOG BLOKA ZRAČNOG PROSTORA CENTRAL EUROPE</w:t>
      </w:r>
      <w:bookmarkEnd w:id="52"/>
    </w:p>
    <w:p w:rsidR="001646BE" w:rsidRDefault="001646BE" w:rsidP="00E7337E"/>
    <w:p w:rsidR="001646BE" w:rsidRDefault="001646BE" w:rsidP="00DE756B">
      <w:pPr>
        <w:ind w:firstLine="360"/>
      </w:pPr>
      <w:r>
        <w:t xml:space="preserve">Pravna struktura FAB-a CE uspostavlja se dvojako, instrumentima međunarodnog prava i privatnim sporazumima između određenih tijela. Instrumenti međunarodnog prava odnose se na FAB CE sporazum, koji definira odgovornosti zemalja članica. Ovim pravnim instrumentom vezana su sljedeća tijela: Vijeće FAB-a „CE“, NSA odbor i ANSP odbor. Privatni sporazumi definiraju odnos i suradnju ANSP-a i njima pripadajućih pododbora. </w:t>
      </w:r>
    </w:p>
    <w:p w:rsidR="001646BE" w:rsidRDefault="001646BE" w:rsidP="00C25A20">
      <w:pPr>
        <w:ind w:firstLine="360"/>
      </w:pPr>
      <w:r>
        <w:t xml:space="preserve">Vijeće FAB-a predstavlja najvišu razinu upravljanja te je sastavljeno na razini zemalja članica. Pravo glasa unutar Vijeća imaju ministri prometa zemalja članica FAB-a. Odgovornosti Vijeća su sljedeće: formulacija i odobravanje razvoja i strategije poslovanja FAB-a, komunikacija sa NSA odborom, modifikacije FAB-a, nadopuna FAB CE sporazuma, te primjena pravila i procedura unutar FAB-a. Integralan dio Vijeća je i JCMACB koji je na strateškoj razini odgovoran za dizajn zračnog prostora, upravljanje zračnim prostorom i ATFCM, te planiranje operacija. </w:t>
      </w:r>
    </w:p>
    <w:p w:rsidR="001646BE" w:rsidRDefault="001646BE" w:rsidP="00261BC9">
      <w:pPr>
        <w:ind w:firstLine="360"/>
      </w:pPr>
      <w:r>
        <w:t xml:space="preserve">Koordinacijski odbor NSA-a podređen je Vijeću, ali neovisan u smislu financiranja, izbora članova i izvršavanja zadataka. Odbor se osniva na temelju FAB CE sporazuma, te se sastoji od NSA predstavnika nominiranih od zemalja članica. U početnim fazama ustroja FAB-a, NSA će vjerojatno nastaviti vršiti nadzor, stoga će biti potrebna koordinacija između NSA-a. Odgovornost NSA koordinacijskog odbora sastoji se od koordinacije pravila i procedura (certifikacija ANSP-a, licenciranje ATCO-a, obuka, prijavljivanje incidenata i sl.), praćenja performansi FAB-a, prikupljanja sigurnosnih izvješća od ANSP-a koji djeluju u FAB-u, te odobravanja promjena u zajedničkom ATC priručniku i primjeni istih. </w:t>
      </w:r>
    </w:p>
    <w:p w:rsidR="001646BE" w:rsidRDefault="001646BE" w:rsidP="00A837CB">
      <w:pPr>
        <w:ind w:firstLine="360"/>
      </w:pPr>
      <w:r>
        <w:t xml:space="preserve">Odbor ANSP-a osniva se zbog velikog broja ANSP zadataka i aktivnosti u različitim područjima djelovanja i implementacije FAB-a. Suradnja ANSP-a u spomenutim područjima biti će od ključne važnosti tijekom faza implementacije FAB-a. Odbor se može osnovati putem FAB CE sporazuma ili privatnim sporazumom između ANSP-a. Odbor ANSP-a bitan je radi usklađivanja, koordinacije i poboljšanja suradnje između ANSP-a. Članovi Odbora su izvršni direktori ANSP-a zemalja članica. </w:t>
      </w:r>
    </w:p>
    <w:p w:rsidR="001646BE" w:rsidRDefault="001646BE" w:rsidP="00A837CB">
      <w:pPr>
        <w:ind w:firstLine="360"/>
      </w:pPr>
      <w:r>
        <w:lastRenderedPageBreak/>
        <w:t>Osim navedenih, ustrojit će se i određen broj Pododbora koji će djelovati na radnim razinama. Na taj način uspostavit će se Pododbor ATS operacija, Odbor za regionalno tehničko planiranje, Pododbor financija i Pododbor sigurnosti [23].</w:t>
      </w:r>
    </w:p>
    <w:p w:rsidR="001646BE" w:rsidRDefault="001646BE" w:rsidP="00B95840">
      <w:pPr>
        <w:ind w:firstLine="360"/>
      </w:pPr>
      <w:r>
        <w:t xml:space="preserve">Sporazum o FAB-u CE ne smije utjecati na suverenitet zračnog prostora iznad teritorija zemalja članica, na nacionalne zahtjeve zemalja članica u pogledu javnog reda, javne sigurnosti i obrane, te ne smije utjecati na prava i obaveze zemalja članica u pogledu Čikaške konvencije, Eurocontrolove međunarodne konvencije i ostalih instrumenata međunarodnog prava. Kako bi se osigurala efikasna civilno - vojna suradnja unutar FAB-a potrebno je donijeti sporazum kojim se definiraju odnosi između vojnih i civilnih vlasti zemalja članica za područje čitavog FAB-a CE. </w:t>
      </w:r>
    </w:p>
    <w:p w:rsidR="001646BE" w:rsidRDefault="001646BE" w:rsidP="00197FED">
      <w:pPr>
        <w:ind w:firstLine="360"/>
      </w:pPr>
      <w:r>
        <w:t xml:space="preserve">Unutar zemalja članica FAB-a postoji više regulatora, stoga je potrebno uspostaviti koordinaciju između </w:t>
      </w:r>
      <w:r w:rsidR="004346EF">
        <w:t>regulativni</w:t>
      </w:r>
      <w:r>
        <w:t xml:space="preserve">h tijela. </w:t>
      </w:r>
      <w:r w:rsidR="004346EF">
        <w:t>Regulativne</w:t>
      </w:r>
      <w:r>
        <w:t xml:space="preserve"> funkcije će se provoditi na područja certifikacije, imenovanja, naplate, sigurnosti, godišnjeg izvješćivanja, usklađivanja vojno-civilnih procedura, pravila o zračnom prometu, obuci i licenciranju osoblja i o ekonomskim regulacijama. </w:t>
      </w:r>
    </w:p>
    <w:p w:rsidR="001646BE" w:rsidRDefault="001646BE" w:rsidP="009D35F2">
      <w:pPr>
        <w:ind w:firstLine="360"/>
      </w:pPr>
      <w:r>
        <w:t xml:space="preserve">Implementacija jedinstvene tarife jedan je od ključnih zahtjeva FAB-a CE, koji se ostvaruje putem FAB CE sporazuma ili posebnim sporazumima između zemalja članica. Međutim, postoje određeni rizici povezani s ustrojem jedinstvene zone naplate usluga, ukoliko stupanj ekonomske suradnje između zemalja članica bude toliko slab da ne postoji zajednička kontrola troškova za pružanje usluga na ruti. Također, neće sve zemlje pristupiti jedinstvenoj zoni naplate usluga u isto vrijeme, stoga je realno očekivati da će se u početku jedinstvena zona naplate usluga sastojati od dvije ili tri susjedne zemlje unutar FAB-a CE. </w:t>
      </w:r>
    </w:p>
    <w:p w:rsidR="001646BE" w:rsidRDefault="001646BE" w:rsidP="009D35F2">
      <w:pPr>
        <w:ind w:firstLine="360"/>
      </w:pPr>
      <w:r>
        <w:t xml:space="preserve">Jedinstvena tarifa izračunava se kao ukupni troškovi ruta za zemlje članice podijeljeni sa ukupnim brojem ATS jedinica. Distribucija dobiti temelji se na proporcionalnom udjelu članica/ANSP-a u ukupnim troškovima, uz povratak svih troškova svakoj članici/ANSP-u.  </w:t>
      </w:r>
    </w:p>
    <w:p w:rsidR="001646BE" w:rsidRDefault="001646BE" w:rsidP="009D35F2">
      <w:pPr>
        <w:ind w:firstLine="360"/>
      </w:pPr>
      <w:r>
        <w:t>Ekonomska suradnja između zemalja članica FAB-a CE temelji se na tri modela koje je potrebno postepeno uvoditi:</w:t>
      </w:r>
    </w:p>
    <w:p w:rsidR="001646BE" w:rsidRDefault="001646BE" w:rsidP="00B95840">
      <w:pPr>
        <w:pStyle w:val="ListParagraph"/>
        <w:numPr>
          <w:ilvl w:val="0"/>
          <w:numId w:val="30"/>
        </w:numPr>
        <w:spacing w:after="0"/>
      </w:pPr>
      <w:r>
        <w:t>kooperativno planiranje troškova,</w:t>
      </w:r>
    </w:p>
    <w:p w:rsidR="001646BE" w:rsidRDefault="001646BE" w:rsidP="00B95840">
      <w:pPr>
        <w:pStyle w:val="ListParagraph"/>
        <w:numPr>
          <w:ilvl w:val="0"/>
          <w:numId w:val="30"/>
        </w:numPr>
        <w:spacing w:after="0"/>
      </w:pPr>
      <w:r>
        <w:t>centralno financiranje,</w:t>
      </w:r>
    </w:p>
    <w:p w:rsidR="001646BE" w:rsidRDefault="001646BE" w:rsidP="00B95840">
      <w:pPr>
        <w:pStyle w:val="ListParagraph"/>
        <w:numPr>
          <w:ilvl w:val="0"/>
          <w:numId w:val="30"/>
        </w:numPr>
        <w:spacing w:after="0"/>
      </w:pPr>
      <w:r>
        <w:t>integrirano upravljanje troškovima.</w:t>
      </w:r>
    </w:p>
    <w:p w:rsidR="001646BE" w:rsidRDefault="001646BE" w:rsidP="00B95840">
      <w:pPr>
        <w:ind w:firstLine="360"/>
      </w:pPr>
      <w:r>
        <w:lastRenderedPageBreak/>
        <w:t>Kooperativno planiranje troškova može se uspostaviti trenutno, s obzirom da nije potrebno potpisivati pravne dokumente. Potrebno je uspostaviti blisku suradnju između izvršnih direktora ANSP-a, što podrazumijeva koordinaciju planova i transparentnost poslovanja.</w:t>
      </w:r>
    </w:p>
    <w:p w:rsidR="001646BE" w:rsidRDefault="001646BE" w:rsidP="00CB18A6">
      <w:pPr>
        <w:ind w:firstLine="360"/>
      </w:pPr>
      <w:r>
        <w:t xml:space="preserve">Model centralnog financiranja trebao bi biti uspostavljen do 2015. godine. Navedeni model zahtijeva donošenje sporazuma o zajedničkom budžetu, planiranju i izvješćivanju te predstavlja temelj za uspostavu jedinstvene zone naplate usluga. Potrebna je koordinacija u domeni investicija i nabave, planiranja osoblja i politike plaća, te upravljanja pomoćnim servisima. Suradnja se temelji na razini izvršnih direktora ANSP-a. </w:t>
      </w:r>
    </w:p>
    <w:p w:rsidR="001646BE" w:rsidRDefault="001646BE" w:rsidP="00CB18A6">
      <w:pPr>
        <w:ind w:firstLine="360"/>
      </w:pPr>
      <w:r>
        <w:t>Model integriranog upravljanja troškovima pretpostavlja ustroj nadležnog tijela u posjedu ANSP-a koji odluče participirati u ovom modelu. Spomenuto nadležno tijelo upravlja pružanjem usluga te preuzima na sebe znatan dio odgovornosti. Sva financijska planiranja i distribuciju dobiti vrši navedeno nadležno tijelo. Ustrojem ovog modela omogućuje se brzo reagiranje na promjene u poslovnom okruženju, harmonizacija razvoja troškovne baze, harmonizacija investicija, te harmonizacija i optimizacija pomoćnih servisa</w:t>
      </w:r>
      <w:r w:rsidRPr="00032F32">
        <w:t xml:space="preserve"> </w:t>
      </w:r>
      <w:r>
        <w:t>[23].</w:t>
      </w:r>
    </w:p>
    <w:p w:rsidR="001646BE" w:rsidRDefault="001646BE" w:rsidP="00C20CA5">
      <w:pPr>
        <w:ind w:firstLine="360"/>
      </w:pPr>
      <w:r>
        <w:t>Hrvatski ANSP (Hrvatska kontrola zračne plovidbe) ustrojena je kao trgovačko društvo s ograničenom odgovornosti u vlasništvu Republike Hrvatske te se sastoji od središnjeg dijela Društva u Zagrebu, organiziranog u pet sektora (Sektor upravljanja zračnim prometom, Sektor zrakoplovno-tehničkog sustava, Sektor zrakoplovne meteorologije, Sektor vojnih zadaća, Sektor ljudskih potencijala, pravnih i financijskih poslova) i podružnica.</w:t>
      </w:r>
      <w:r w:rsidRPr="0019105D">
        <w:t xml:space="preserve"> </w:t>
      </w:r>
      <w:r>
        <w:t xml:space="preserve">Upravu HKZP-a čini jedan član – Direktor. Nadzorni odbor sastavljen od 5 članova odgovoran je za nadzor nad vođenjem poslova HKZP-a kao i za imenovanje i opoziv člana Uprave. Skupštinu čine 3 člana i to ministri: Ministarstva mora, prometa i infrastrukture, Ministarstva obrane i Ministarstva financija. Prema svim pokazateljima HKZP posluje izuzetno dobro uz trend povećavanja kvalitete poslovanja i rasta ukupnih prihoda [26]. </w:t>
      </w:r>
    </w:p>
    <w:p w:rsidR="001646BE" w:rsidRPr="0010094A" w:rsidRDefault="001646BE" w:rsidP="00C20CA5">
      <w:pPr>
        <w:ind w:firstLine="360"/>
      </w:pPr>
      <w:r>
        <w:t>Slika 22 prikazuje upravljačku strukturu HKZP-a, dok tablica 14 prikazuje financijsko poslovanje HKZP-a za 2009. godinu.</w:t>
      </w:r>
    </w:p>
    <w:p w:rsidR="001646BE" w:rsidRPr="00C20CA5" w:rsidRDefault="00E02CBE" w:rsidP="00014911">
      <w:pPr>
        <w:spacing w:after="0"/>
        <w:ind w:firstLine="360"/>
        <w:rPr>
          <w:sz w:val="20"/>
          <w:szCs w:val="20"/>
        </w:rPr>
      </w:pPr>
      <w:r>
        <w:rPr>
          <w:noProof/>
          <w:sz w:val="20"/>
          <w:szCs w:val="20"/>
          <w:lang w:eastAsia="hr-HR"/>
        </w:rPr>
        <w:lastRenderedPageBreak/>
        <w:drawing>
          <wp:inline distT="0" distB="0" distL="0" distR="0">
            <wp:extent cx="3886200" cy="2524125"/>
            <wp:effectExtent l="1905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srcRect/>
                    <a:stretch>
                      <a:fillRect/>
                    </a:stretch>
                  </pic:blipFill>
                  <pic:spPr bwMode="auto">
                    <a:xfrm>
                      <a:off x="0" y="0"/>
                      <a:ext cx="3886200" cy="2524125"/>
                    </a:xfrm>
                    <a:prstGeom prst="rect">
                      <a:avLst/>
                    </a:prstGeom>
                    <a:noFill/>
                    <a:ln w="9525">
                      <a:noFill/>
                      <a:miter lim="800000"/>
                      <a:headEnd/>
                      <a:tailEnd/>
                    </a:ln>
                  </pic:spPr>
                </pic:pic>
              </a:graphicData>
            </a:graphic>
          </wp:inline>
        </w:drawing>
      </w:r>
    </w:p>
    <w:p w:rsidR="001646BE" w:rsidRPr="00014911" w:rsidRDefault="001646BE" w:rsidP="00014911">
      <w:pPr>
        <w:spacing w:after="0"/>
        <w:ind w:firstLine="360"/>
        <w:rPr>
          <w:b/>
          <w:bCs/>
          <w:sz w:val="20"/>
          <w:szCs w:val="20"/>
        </w:rPr>
      </w:pPr>
      <w:r w:rsidRPr="00014911">
        <w:rPr>
          <w:b/>
          <w:bCs/>
          <w:sz w:val="20"/>
          <w:szCs w:val="20"/>
        </w:rPr>
        <w:t>Slika</w:t>
      </w:r>
      <w:r>
        <w:rPr>
          <w:b/>
          <w:bCs/>
          <w:sz w:val="20"/>
          <w:szCs w:val="20"/>
        </w:rPr>
        <w:t xml:space="preserve"> 22: </w:t>
      </w:r>
      <w:r w:rsidRPr="00014911">
        <w:rPr>
          <w:b/>
          <w:bCs/>
          <w:sz w:val="20"/>
          <w:szCs w:val="20"/>
        </w:rPr>
        <w:t>upravljačka struktura HKZP-a.</w:t>
      </w:r>
    </w:p>
    <w:p w:rsidR="001646BE" w:rsidRPr="00C20CA5" w:rsidRDefault="001646BE" w:rsidP="00014911">
      <w:pPr>
        <w:spacing w:after="0"/>
        <w:ind w:firstLine="360"/>
        <w:rPr>
          <w:sz w:val="20"/>
          <w:szCs w:val="20"/>
        </w:rPr>
      </w:pPr>
      <w:r w:rsidRPr="00C20CA5">
        <w:rPr>
          <w:sz w:val="20"/>
          <w:szCs w:val="20"/>
        </w:rPr>
        <w:t xml:space="preserve">Izvor: HKZP: Godišnji izvještaj o stanju društva za 2009. godinu. </w:t>
      </w:r>
    </w:p>
    <w:p w:rsidR="001646BE" w:rsidRDefault="001646BE" w:rsidP="00014911">
      <w:pPr>
        <w:spacing w:after="0"/>
        <w:rPr>
          <w:b/>
          <w:bCs/>
        </w:rPr>
      </w:pPr>
    </w:p>
    <w:p w:rsidR="001646BE" w:rsidRPr="00014911" w:rsidRDefault="001646BE" w:rsidP="00014911">
      <w:pPr>
        <w:spacing w:after="0"/>
        <w:rPr>
          <w:b/>
          <w:bCs/>
        </w:rPr>
      </w:pPr>
    </w:p>
    <w:p w:rsidR="001646BE" w:rsidRPr="00014911" w:rsidRDefault="001646BE" w:rsidP="00014911">
      <w:pPr>
        <w:spacing w:after="0" w:line="240" w:lineRule="auto"/>
        <w:rPr>
          <w:b/>
          <w:bCs/>
          <w:sz w:val="20"/>
          <w:szCs w:val="20"/>
        </w:rPr>
      </w:pPr>
      <w:r w:rsidRPr="00014911">
        <w:rPr>
          <w:b/>
          <w:bCs/>
          <w:sz w:val="20"/>
          <w:szCs w:val="20"/>
        </w:rPr>
        <w:t>Ta</w:t>
      </w:r>
      <w:r>
        <w:rPr>
          <w:b/>
          <w:bCs/>
          <w:sz w:val="20"/>
          <w:szCs w:val="20"/>
        </w:rPr>
        <w:t xml:space="preserve">blica 14: </w:t>
      </w:r>
      <w:r w:rsidRPr="00014911">
        <w:rPr>
          <w:b/>
          <w:bCs/>
          <w:sz w:val="20"/>
          <w:szCs w:val="20"/>
        </w:rPr>
        <w:t xml:space="preserve"> prikaz financijskog poslovanja za 2009. godinu.</w:t>
      </w:r>
    </w:p>
    <w:p w:rsidR="001646BE" w:rsidRPr="00C20CA5" w:rsidRDefault="00E02CBE" w:rsidP="00014911">
      <w:pPr>
        <w:spacing w:after="0" w:line="240" w:lineRule="auto"/>
        <w:rPr>
          <w:sz w:val="20"/>
          <w:szCs w:val="20"/>
        </w:rPr>
      </w:pPr>
      <w:r>
        <w:rPr>
          <w:noProof/>
          <w:sz w:val="20"/>
          <w:szCs w:val="20"/>
          <w:lang w:eastAsia="hr-HR"/>
        </w:rPr>
        <w:drawing>
          <wp:inline distT="0" distB="0" distL="0" distR="0">
            <wp:extent cx="5686425" cy="2371725"/>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srcRect/>
                    <a:stretch>
                      <a:fillRect/>
                    </a:stretch>
                  </pic:blipFill>
                  <pic:spPr bwMode="auto">
                    <a:xfrm>
                      <a:off x="0" y="0"/>
                      <a:ext cx="5686425" cy="2371725"/>
                    </a:xfrm>
                    <a:prstGeom prst="rect">
                      <a:avLst/>
                    </a:prstGeom>
                    <a:noFill/>
                    <a:ln w="9525">
                      <a:noFill/>
                      <a:miter lim="800000"/>
                      <a:headEnd/>
                      <a:tailEnd/>
                    </a:ln>
                  </pic:spPr>
                </pic:pic>
              </a:graphicData>
            </a:graphic>
          </wp:inline>
        </w:drawing>
      </w:r>
    </w:p>
    <w:p w:rsidR="001646BE" w:rsidRPr="00C20CA5" w:rsidRDefault="001646BE" w:rsidP="00014911">
      <w:pPr>
        <w:spacing w:after="0" w:line="240" w:lineRule="auto"/>
        <w:rPr>
          <w:sz w:val="20"/>
          <w:szCs w:val="20"/>
        </w:rPr>
      </w:pPr>
      <w:r w:rsidRPr="00C20CA5">
        <w:rPr>
          <w:sz w:val="20"/>
          <w:szCs w:val="20"/>
        </w:rPr>
        <w:t xml:space="preserve">Izvor: HKZP: Godišnji izvještaj o stanju društva za 2009. godinu. </w:t>
      </w:r>
    </w:p>
    <w:p w:rsidR="001646BE" w:rsidRDefault="001646BE" w:rsidP="00014911">
      <w:pPr>
        <w:spacing w:after="0"/>
      </w:pPr>
    </w:p>
    <w:p w:rsidR="001646BE" w:rsidRDefault="001646BE" w:rsidP="00AC03D8"/>
    <w:p w:rsidR="001646BE" w:rsidRDefault="001646BE" w:rsidP="00AC03D8"/>
    <w:p w:rsidR="001646BE" w:rsidRDefault="001646BE" w:rsidP="00AC03D8"/>
    <w:p w:rsidR="001646BE" w:rsidRDefault="001646BE" w:rsidP="00AC03D8"/>
    <w:p w:rsidR="001646BE" w:rsidRDefault="001646BE" w:rsidP="00AC03D8"/>
    <w:p w:rsidR="001646BE" w:rsidRDefault="001646BE" w:rsidP="00014911">
      <w:pPr>
        <w:pStyle w:val="Heading2"/>
      </w:pPr>
      <w:bookmarkStart w:id="53" w:name="_Toc296339042"/>
      <w:r>
        <w:lastRenderedPageBreak/>
        <w:t>4.5</w:t>
      </w:r>
      <w:r>
        <w:tab/>
        <w:t>EKONOMSKI ASPEKT</w:t>
      </w:r>
      <w:bookmarkEnd w:id="53"/>
    </w:p>
    <w:p w:rsidR="001646BE" w:rsidRDefault="001646BE" w:rsidP="00830EC1">
      <w:pPr>
        <w:jc w:val="left"/>
      </w:pPr>
    </w:p>
    <w:p w:rsidR="001646BE" w:rsidRDefault="001646BE" w:rsidP="00E33AA0">
      <w:pPr>
        <w:ind w:firstLine="360"/>
      </w:pPr>
      <w:r>
        <w:t xml:space="preserve">Poslovni aspekt i projekcije troškovnih poboljšanja temelje se na učincima koje donosi uspostava FAB-a, u odnosu na scenarij poslovanja i troškovne strukture u slučaju da ne dođe do ustroja FAB-a (referentni slučaj), u istom vremenskom periodu. Prema CBA studiji, uspostavom inicijalnog scenarija FAB-a CE, poboljšanja tj. dobit do 2025. godine iznosit će 308 mil. eura. Uspostavom dinamičkog scenarija, moguće je ostvariti dodatnu dobit u iznosu od 34 mil. eura do 2025. godine. Navedeno je prikazano u tablici 15. </w:t>
      </w:r>
    </w:p>
    <w:p w:rsidR="001646BE" w:rsidRDefault="001646BE" w:rsidP="00014911">
      <w:pPr>
        <w:spacing w:after="0"/>
        <w:ind w:firstLine="360"/>
      </w:pPr>
    </w:p>
    <w:p w:rsidR="001646BE" w:rsidRPr="00014911" w:rsidRDefault="001646BE" w:rsidP="00014911">
      <w:pPr>
        <w:spacing w:after="0"/>
        <w:ind w:firstLine="360"/>
        <w:rPr>
          <w:b/>
          <w:bCs/>
          <w:sz w:val="20"/>
          <w:szCs w:val="20"/>
        </w:rPr>
      </w:pPr>
      <w:r>
        <w:rPr>
          <w:b/>
          <w:bCs/>
          <w:sz w:val="20"/>
          <w:szCs w:val="20"/>
        </w:rPr>
        <w:t xml:space="preserve">Tablica 15: </w:t>
      </w:r>
      <w:r w:rsidRPr="00014911">
        <w:rPr>
          <w:b/>
          <w:bCs/>
          <w:sz w:val="20"/>
          <w:szCs w:val="20"/>
        </w:rPr>
        <w:t xml:space="preserve"> prikaz dobiti za inicijalni i dinamički</w:t>
      </w:r>
      <w:r>
        <w:rPr>
          <w:b/>
          <w:bCs/>
          <w:sz w:val="20"/>
          <w:szCs w:val="20"/>
        </w:rPr>
        <w:t xml:space="preserve"> scenarij implementacije FAB-a CE</w:t>
      </w:r>
      <w:r w:rsidRPr="00014911">
        <w:rPr>
          <w:b/>
          <w:bCs/>
          <w:sz w:val="20"/>
          <w:szCs w:val="20"/>
        </w:rPr>
        <w:t>.</w:t>
      </w:r>
    </w:p>
    <w:p w:rsidR="001646BE" w:rsidRPr="00EE5D2A" w:rsidRDefault="00E02CBE" w:rsidP="00014911">
      <w:pPr>
        <w:spacing w:after="0"/>
        <w:ind w:firstLine="360"/>
        <w:rPr>
          <w:sz w:val="20"/>
          <w:szCs w:val="20"/>
        </w:rPr>
      </w:pPr>
      <w:r>
        <w:rPr>
          <w:noProof/>
          <w:sz w:val="20"/>
          <w:szCs w:val="20"/>
          <w:lang w:eastAsia="hr-HR"/>
        </w:rPr>
        <w:drawing>
          <wp:inline distT="0" distB="0" distL="0" distR="0">
            <wp:extent cx="4552950" cy="19050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srcRect/>
                    <a:stretch>
                      <a:fillRect/>
                    </a:stretch>
                  </pic:blipFill>
                  <pic:spPr bwMode="auto">
                    <a:xfrm>
                      <a:off x="0" y="0"/>
                      <a:ext cx="4552950" cy="1905000"/>
                    </a:xfrm>
                    <a:prstGeom prst="rect">
                      <a:avLst/>
                    </a:prstGeom>
                    <a:noFill/>
                    <a:ln w="9525">
                      <a:noFill/>
                      <a:miter lim="800000"/>
                      <a:headEnd/>
                      <a:tailEnd/>
                    </a:ln>
                  </pic:spPr>
                </pic:pic>
              </a:graphicData>
            </a:graphic>
          </wp:inline>
        </w:drawing>
      </w:r>
    </w:p>
    <w:p w:rsidR="001646BE" w:rsidRDefault="001646BE" w:rsidP="00014911">
      <w:pPr>
        <w:ind w:firstLine="360"/>
        <w:rPr>
          <w:sz w:val="20"/>
          <w:szCs w:val="20"/>
        </w:rPr>
      </w:pPr>
      <w:r w:rsidRPr="00EE5D2A">
        <w:rPr>
          <w:sz w:val="20"/>
          <w:szCs w:val="20"/>
        </w:rPr>
        <w:t>Izvor: FAB CE Project Management Office: Feasibility Study, Master Plan, 2008.</w:t>
      </w:r>
    </w:p>
    <w:p w:rsidR="001646BE" w:rsidRDefault="001646BE" w:rsidP="00014911">
      <w:pPr>
        <w:spacing w:after="0" w:line="240" w:lineRule="auto"/>
        <w:ind w:firstLine="360"/>
        <w:rPr>
          <w:sz w:val="20"/>
          <w:szCs w:val="20"/>
        </w:rPr>
      </w:pPr>
    </w:p>
    <w:p w:rsidR="001646BE" w:rsidRDefault="001646BE" w:rsidP="00E33AA0">
      <w:pPr>
        <w:ind w:firstLine="360"/>
      </w:pPr>
      <w:r>
        <w:t>Utjecaj implementacije FAB-a na financijsku i ekonomsku efikasnost u regiji prikazana je grafikonima 25 i 26. Financijska efikasnost mjeri se ATM/CNS troškovima po satu leta, dok ekonomska efikasnost uzima u obzir i trošak koji zahvaća aviokompanije u slučaju ATM-om uzrokovanih kašnjenja (prosječno ti troškovi iznose 57 eura po minuti leta).</w:t>
      </w:r>
    </w:p>
    <w:p w:rsidR="001646BE" w:rsidRDefault="00E02CBE" w:rsidP="00D1031A">
      <w:pPr>
        <w:spacing w:after="0"/>
      </w:pPr>
      <w:r>
        <w:rPr>
          <w:noProof/>
          <w:lang w:eastAsia="hr-HR"/>
        </w:rPr>
        <w:drawing>
          <wp:inline distT="0" distB="0" distL="0" distR="0">
            <wp:extent cx="2781300" cy="1647825"/>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a:srcRect/>
                    <a:stretch>
                      <a:fillRect/>
                    </a:stretch>
                  </pic:blipFill>
                  <pic:spPr bwMode="auto">
                    <a:xfrm>
                      <a:off x="0" y="0"/>
                      <a:ext cx="2781300" cy="1647825"/>
                    </a:xfrm>
                    <a:prstGeom prst="rect">
                      <a:avLst/>
                    </a:prstGeom>
                    <a:noFill/>
                    <a:ln w="9525">
                      <a:noFill/>
                      <a:miter lim="800000"/>
                      <a:headEnd/>
                      <a:tailEnd/>
                    </a:ln>
                  </pic:spPr>
                </pic:pic>
              </a:graphicData>
            </a:graphic>
          </wp:inline>
        </w:drawing>
      </w:r>
      <w:r w:rsidR="001646BE">
        <w:t xml:space="preserve">  </w:t>
      </w:r>
      <w:r w:rsidR="001646BE" w:rsidRPr="00E33AA0">
        <w:t xml:space="preserve"> </w:t>
      </w:r>
      <w:r>
        <w:rPr>
          <w:noProof/>
          <w:lang w:eastAsia="hr-HR"/>
        </w:rPr>
        <w:drawing>
          <wp:inline distT="0" distB="0" distL="0" distR="0">
            <wp:extent cx="2695575" cy="1647825"/>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
                    <a:srcRect/>
                    <a:stretch>
                      <a:fillRect/>
                    </a:stretch>
                  </pic:blipFill>
                  <pic:spPr bwMode="auto">
                    <a:xfrm>
                      <a:off x="0" y="0"/>
                      <a:ext cx="2695575" cy="1647825"/>
                    </a:xfrm>
                    <a:prstGeom prst="rect">
                      <a:avLst/>
                    </a:prstGeom>
                    <a:noFill/>
                    <a:ln w="9525">
                      <a:noFill/>
                      <a:miter lim="800000"/>
                      <a:headEnd/>
                      <a:tailEnd/>
                    </a:ln>
                  </pic:spPr>
                </pic:pic>
              </a:graphicData>
            </a:graphic>
          </wp:inline>
        </w:drawing>
      </w:r>
    </w:p>
    <w:p w:rsidR="001646BE" w:rsidRPr="00D1031A" w:rsidRDefault="001646BE" w:rsidP="00D1031A">
      <w:pPr>
        <w:spacing w:after="0"/>
        <w:rPr>
          <w:b/>
          <w:bCs/>
          <w:sz w:val="20"/>
          <w:szCs w:val="20"/>
        </w:rPr>
      </w:pPr>
      <w:r>
        <w:rPr>
          <w:b/>
          <w:bCs/>
          <w:sz w:val="20"/>
          <w:szCs w:val="20"/>
        </w:rPr>
        <w:t>Grafikon 25: financijska efikasnost FAB-a CE</w:t>
      </w:r>
      <w:r w:rsidRPr="00D1031A">
        <w:rPr>
          <w:b/>
          <w:bCs/>
          <w:sz w:val="20"/>
          <w:szCs w:val="20"/>
        </w:rPr>
        <w:t>.</w:t>
      </w:r>
      <w:r>
        <w:rPr>
          <w:b/>
          <w:bCs/>
          <w:sz w:val="20"/>
          <w:szCs w:val="20"/>
        </w:rPr>
        <w:tab/>
        <w:t xml:space="preserve">          </w:t>
      </w:r>
      <w:r w:rsidRPr="00D1031A">
        <w:rPr>
          <w:b/>
          <w:bCs/>
          <w:sz w:val="20"/>
          <w:szCs w:val="20"/>
        </w:rPr>
        <w:t>Gra</w:t>
      </w:r>
      <w:r>
        <w:rPr>
          <w:b/>
          <w:bCs/>
          <w:sz w:val="20"/>
          <w:szCs w:val="20"/>
        </w:rPr>
        <w:t>fikon 26: ekonomska efikasnost FAB-a CE</w:t>
      </w:r>
      <w:r w:rsidRPr="00D1031A">
        <w:rPr>
          <w:b/>
          <w:bCs/>
          <w:sz w:val="20"/>
          <w:szCs w:val="20"/>
        </w:rPr>
        <w:t>.</w:t>
      </w:r>
    </w:p>
    <w:p w:rsidR="001646BE" w:rsidRPr="00E33AA0" w:rsidRDefault="001646BE" w:rsidP="00D1031A">
      <w:pPr>
        <w:spacing w:after="0"/>
        <w:rPr>
          <w:sz w:val="20"/>
          <w:szCs w:val="20"/>
        </w:rPr>
      </w:pPr>
      <w:r>
        <w:rPr>
          <w:sz w:val="20"/>
          <w:szCs w:val="20"/>
        </w:rPr>
        <w:t xml:space="preserve">Izvor: </w:t>
      </w:r>
      <w:r w:rsidRPr="00EE5D2A">
        <w:rPr>
          <w:sz w:val="20"/>
          <w:szCs w:val="20"/>
        </w:rPr>
        <w:t>FAB CE Project Management Office: Feasibility Study, Master Plan, 2008.</w:t>
      </w:r>
      <w:r>
        <w:rPr>
          <w:sz w:val="20"/>
          <w:szCs w:val="20"/>
        </w:rPr>
        <w:tab/>
      </w:r>
      <w:r>
        <w:rPr>
          <w:sz w:val="20"/>
          <w:szCs w:val="20"/>
        </w:rPr>
        <w:tab/>
      </w:r>
    </w:p>
    <w:p w:rsidR="001646BE" w:rsidRDefault="001646BE" w:rsidP="00D1031A">
      <w:pPr>
        <w:ind w:firstLine="360"/>
      </w:pPr>
      <w:r>
        <w:lastRenderedPageBreak/>
        <w:t>Iz grafikona 25 vidi se da će implementacija FAB-a CE, bez obzira na scenarij koji se koristi, doprinjeti smanjenju troškova pružanja ATM/CNS usluga, dok se na grafikonu 26 primjećuje znatna razlika u troškovima između slučaja implementacije FAB-a i slučaja da se FAB CE ne uspostavi, te je i troškovna razlika između korištenih scenarija veća (dinamički scenarij donosi maksimalnu uštedu)</w:t>
      </w:r>
      <w:r w:rsidRPr="00032F32">
        <w:t xml:space="preserve"> </w:t>
      </w:r>
      <w:r>
        <w:t>[23].</w:t>
      </w:r>
    </w:p>
    <w:p w:rsidR="001646BE" w:rsidRDefault="001646BE" w:rsidP="00E33AA0">
      <w:pPr>
        <w:ind w:firstLine="360"/>
      </w:pPr>
      <w:r>
        <w:t>Implementacijom FAB-a i promjenama u dizajnu i konfiguraciji zračnog prostora ostvarit će se znatna poboljšanja u pogledu horizontalne učinkovitosti letova. Kvantifikacija spomenutih poboljšanja što se tiče horizontalne učinkovitosti prikazana je na grafikonu 27.</w:t>
      </w:r>
    </w:p>
    <w:p w:rsidR="001646BE" w:rsidRDefault="00E02CBE" w:rsidP="00D1031A">
      <w:pPr>
        <w:spacing w:after="0"/>
        <w:ind w:firstLine="360"/>
      </w:pPr>
      <w:r>
        <w:rPr>
          <w:noProof/>
          <w:lang w:eastAsia="hr-HR"/>
        </w:rPr>
        <w:drawing>
          <wp:inline distT="0" distB="0" distL="0" distR="0">
            <wp:extent cx="3048000" cy="18288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a:srcRect/>
                    <a:stretch>
                      <a:fillRect/>
                    </a:stretch>
                  </pic:blipFill>
                  <pic:spPr bwMode="auto">
                    <a:xfrm>
                      <a:off x="0" y="0"/>
                      <a:ext cx="3048000" cy="1828800"/>
                    </a:xfrm>
                    <a:prstGeom prst="rect">
                      <a:avLst/>
                    </a:prstGeom>
                    <a:noFill/>
                    <a:ln w="9525">
                      <a:noFill/>
                      <a:miter lim="800000"/>
                      <a:headEnd/>
                      <a:tailEnd/>
                    </a:ln>
                  </pic:spPr>
                </pic:pic>
              </a:graphicData>
            </a:graphic>
          </wp:inline>
        </w:drawing>
      </w:r>
    </w:p>
    <w:p w:rsidR="001646BE" w:rsidRPr="00D1031A" w:rsidRDefault="001646BE" w:rsidP="00D1031A">
      <w:pPr>
        <w:spacing w:after="0"/>
        <w:ind w:firstLine="360"/>
        <w:rPr>
          <w:b/>
          <w:bCs/>
          <w:sz w:val="20"/>
          <w:szCs w:val="20"/>
        </w:rPr>
      </w:pPr>
      <w:r w:rsidRPr="00D1031A">
        <w:rPr>
          <w:b/>
          <w:bCs/>
          <w:sz w:val="20"/>
          <w:szCs w:val="20"/>
        </w:rPr>
        <w:t>Grafikon 27: poboljšanja u mil. eura radi povećanja horizontalne učinkovitosti letenja FAB-a CE.</w:t>
      </w:r>
    </w:p>
    <w:p w:rsidR="001646BE" w:rsidRPr="00E33AA0" w:rsidRDefault="001646BE" w:rsidP="00D1031A">
      <w:pPr>
        <w:spacing w:after="0"/>
        <w:ind w:firstLine="360"/>
        <w:rPr>
          <w:sz w:val="20"/>
          <w:szCs w:val="20"/>
        </w:rPr>
      </w:pPr>
      <w:r>
        <w:rPr>
          <w:sz w:val="20"/>
          <w:szCs w:val="20"/>
        </w:rPr>
        <w:t xml:space="preserve">Izvor: </w:t>
      </w:r>
      <w:r w:rsidRPr="00EE5D2A">
        <w:rPr>
          <w:sz w:val="20"/>
          <w:szCs w:val="20"/>
        </w:rPr>
        <w:t>FAB CE Project Management Office: Feasibility Study, Master Plan, 2008.</w:t>
      </w:r>
      <w:r>
        <w:rPr>
          <w:sz w:val="20"/>
          <w:szCs w:val="20"/>
        </w:rPr>
        <w:tab/>
      </w:r>
      <w:r>
        <w:rPr>
          <w:sz w:val="20"/>
          <w:szCs w:val="20"/>
        </w:rPr>
        <w:tab/>
      </w:r>
    </w:p>
    <w:p w:rsidR="001646BE" w:rsidRPr="00C6655B" w:rsidRDefault="001646BE" w:rsidP="00D1031A">
      <w:pPr>
        <w:spacing w:after="0"/>
        <w:ind w:firstLine="360"/>
        <w:rPr>
          <w:sz w:val="20"/>
          <w:szCs w:val="20"/>
        </w:rPr>
      </w:pPr>
    </w:p>
    <w:p w:rsidR="001646BE" w:rsidRDefault="001646BE" w:rsidP="00472BBB">
      <w:pPr>
        <w:ind w:firstLine="360"/>
      </w:pPr>
      <w:r>
        <w:t xml:space="preserve">Zemlje članice FAB-a CE relativno su male u pogledu broja zaposlenih, ukupnih ATM/CNS troškova i kontroliranih sati letenja, stoga je i FAB CE, prema spomenutim parametrima jedna od najmanjih FAB inicijativa. Prema tome, zemlje članice inicijative za uspostavu FAB-a CE, ukoliko žele djelovati kao relevantan čimbenik na europskom nivou i adekvatno zastupati potrebe regije srednje Europe, trebaju djelovati unutar FAB-a CE. </w:t>
      </w:r>
    </w:p>
    <w:p w:rsidR="001646BE" w:rsidRPr="00474519" w:rsidRDefault="001646BE" w:rsidP="00472BBB">
      <w:pPr>
        <w:ind w:firstLine="360"/>
      </w:pPr>
      <w:r>
        <w:t>Uspostavom FAB-a realno je očekivati određen socijalni utjecaj koji će se manifestirati tendencijom rasta životnog standarda prema vodećim zemljama članicama FAB-a, te konvergencijom produktivnosti rada prema najefikasnijim zemljama članicama [23].</w:t>
      </w:r>
    </w:p>
    <w:p w:rsidR="001646BE" w:rsidRDefault="001646BE" w:rsidP="00671DF9">
      <w:pPr>
        <w:pStyle w:val="Heading2"/>
      </w:pPr>
    </w:p>
    <w:p w:rsidR="001646BE" w:rsidRDefault="001646BE" w:rsidP="00671DF9"/>
    <w:p w:rsidR="001646BE" w:rsidRDefault="001646BE" w:rsidP="00671DF9"/>
    <w:p w:rsidR="001646BE" w:rsidRDefault="001646BE" w:rsidP="00173EEE">
      <w:pPr>
        <w:pStyle w:val="Heading1"/>
        <w:numPr>
          <w:ilvl w:val="0"/>
          <w:numId w:val="0"/>
        </w:numPr>
      </w:pPr>
      <w:bookmarkStart w:id="54" w:name="_Toc296339043"/>
      <w:r>
        <w:lastRenderedPageBreak/>
        <w:t>5  ZAKLJUČAK</w:t>
      </w:r>
      <w:bookmarkEnd w:id="54"/>
    </w:p>
    <w:p w:rsidR="001646BE" w:rsidRPr="00173EEE" w:rsidRDefault="001646BE" w:rsidP="00173EEE"/>
    <w:p w:rsidR="001646BE" w:rsidRDefault="001646BE" w:rsidP="00C12089">
      <w:pPr>
        <w:ind w:firstLine="360"/>
      </w:pPr>
      <w:r>
        <w:t xml:space="preserve">Strateško pozicioniranje Hrvatske u sustavu upravljanja zračnim prometom srednje Europe potrebno je promatrati iz perspektive razvoja zračnog prometa u Europi, te u odnosu na europski ATM sustav. Hrvatska se kao pristupna članica Europske uniji i kao država na teritoriju srednje Europe treba u pogledu zračnog prometa orijentirati sukladno strategiji razvoja europskog ATM-a i uključiti u regionalne inicijative u sklopu projekta Jedinstvenog europskog neba. </w:t>
      </w:r>
    </w:p>
    <w:p w:rsidR="001646BE" w:rsidRDefault="001646BE" w:rsidP="00C12089">
      <w:pPr>
        <w:ind w:firstLine="360"/>
      </w:pPr>
      <w:r>
        <w:t xml:space="preserve">Kontinuirani rast zračnog prometa i prometne potražnje u Europi uzrokovao je krajem prošlog stoljeća visoke stope zagušenja zračnog prostora i kašnjenja u zračnom prometu. Utjecaj kašnjenja zrakoplova i zagušenja u zračnom prometu na gospodarstvo i ekonomiju očituje se ogromnim financijskim gubicima i nepotrebnim troškovima. Europski ATM sustav zbog velikog broja nedostataka uvelike pridonosi stvaranju zagušenja i kašnjenja u zračnom prometu, te ga je stoga potrebno reorganizirati i optimizirati. </w:t>
      </w:r>
    </w:p>
    <w:p w:rsidR="001646BE" w:rsidRDefault="001646BE" w:rsidP="00C12089">
      <w:pPr>
        <w:ind w:firstLine="360"/>
      </w:pPr>
      <w:r>
        <w:t xml:space="preserve">Reorganizacija i optimizacija europskog ATM sustava započeta je početkom 2000. godine uvođenjem projekta Jedinstveno europsko nebo. Projekt SES identificirao je glavne probleme europskog ATM sustava kao što su fragmentiranost zračnog prostora, tehnička zastarjelost sustava i infrastrukture, različitosti u korištenim procedurama i sustavima europskih ANSP-a, nepostojanje planova i strategije razvoja na europskoj razini, slaba suradnja između susjednih zemalja, slab protok informacija, neusklađenost rutne mreže, slaba koordinacija između vojnih i civilnih tijela te nedostatak kapaciteta zračnog prostora. U cilju rješavanja spomenutih problema usvojen je projekt Jedinstvenog europskog neba čija je zadaća ukinuti fragmentiranost stvaranjem jedinstvenog europskog zračnog prostora, usklađivanjem procedura i sustava u europskom ATM-u, implementacijom i standardizacijom novih tehnologija putem SESAR projekta, uvođenjem strateških planova na regionalnoj razini, bliskom suradnjom europskih ANSP-a i usklađivanjem europske rutne mreže sukladno prometnim zahtjevima, te značajnim povećanjem kapaciteta zračnog prostora. </w:t>
      </w:r>
    </w:p>
    <w:p w:rsidR="001646BE" w:rsidRDefault="001646BE" w:rsidP="004C5041">
      <w:pPr>
        <w:ind w:firstLine="360"/>
      </w:pPr>
      <w:r>
        <w:t xml:space="preserve">Prvi </w:t>
      </w:r>
      <w:r w:rsidR="004346EF">
        <w:t>regulativni</w:t>
      </w:r>
      <w:r>
        <w:t xml:space="preserve"> paket SES-a iz 2004. godine odnosi se na povećanje sigurnosti i efikasnosti zračnog prometa u Europi, smanjenje kašnjenja, poboljšanje usluge, smanjenje troškova kroz smanjenje fragmentiranosti ATM-a u Europi i integraciju vojnih sustava u europski ATM. Prvim </w:t>
      </w:r>
      <w:r w:rsidR="004346EF">
        <w:t>regulativni</w:t>
      </w:r>
      <w:r>
        <w:t xml:space="preserve">m paketom izrađen je okvir za stvaranje jedinstvenog </w:t>
      </w:r>
      <w:r>
        <w:lastRenderedPageBreak/>
        <w:t xml:space="preserve">europskog neba, određeni su zahtjevi u pogledu pružanja usluga u zračnoj plovidbi, zahtjevi u pogledu organizacije zračnog prostora i zahtjevi u pogledu interoperabilnosti europske mreže. S obzirom da prvi </w:t>
      </w:r>
      <w:r w:rsidR="004346EF">
        <w:t>regulativni</w:t>
      </w:r>
      <w:r>
        <w:t xml:space="preserve"> paket (SES I) nije donio očekivane rezultate u važnim područjima, poput integracije zračnog prostora te nije došlo do unaprjeđenja ekonomske isplativosti europske ATM mreže, javila se potreba za doradom SES programa. </w:t>
      </w:r>
    </w:p>
    <w:p w:rsidR="001646BE" w:rsidRDefault="001646BE" w:rsidP="00C12089">
      <w:pPr>
        <w:ind w:firstLine="360"/>
      </w:pPr>
      <w:r>
        <w:t xml:space="preserve">Drugi </w:t>
      </w:r>
      <w:r w:rsidR="004346EF">
        <w:t>regulativni</w:t>
      </w:r>
      <w:r>
        <w:t xml:space="preserve"> paket usvojen je kako bi se unaprijedio prvi </w:t>
      </w:r>
      <w:r w:rsidR="004346EF">
        <w:t>regulativni</w:t>
      </w:r>
      <w:r>
        <w:t xml:space="preserve"> paket i kako bi se europski zračni prostor učinio sigurnijim, te unaprijedila razina održivog razvoja zračnog prometa. Navedena poboljšanja planiraju se ostvariti regulacijom performansi europskog ATM-a, uspostavom sigurnosnog okvira, razvojem novih tehnologija putem SESAR projekta, te upravljanjem aerodromskim kapacitetima. </w:t>
      </w:r>
    </w:p>
    <w:p w:rsidR="001646BE" w:rsidRDefault="001646BE" w:rsidP="009420F8">
      <w:pPr>
        <w:ind w:firstLine="360"/>
      </w:pPr>
      <w:r>
        <w:t>Implementacija SES projekta dugotrajan je proces koji se postepeno provodi. Jedan od ključnih koraka u tom procesu je regionalizacija europskog ATM sustava i zračnog prostora u funkcionalne blokove zračnog prostora, koji smanjuju fragmentiranost te usklađuju i harmoniziraju upravljanje zračnim prometom na prostoru Europe. Regionalizacija se treba provesti uspostavom devet funkcionalnih blokova zračnog prostora na prostoru Europe, dok je na prostoru jugoistočne Europe aktualna inicijativa ISIS. Razvijaju se ukupno devet FAB inicijativa, od kojih je trenutno samo FAB „UK - Ireland“ operativan, dok su ostali FAB-ovi u različitim fazama razvoja.</w:t>
      </w:r>
    </w:p>
    <w:p w:rsidR="001646BE" w:rsidRDefault="001646BE" w:rsidP="008859AB">
      <w:pPr>
        <w:ind w:firstLine="360"/>
      </w:pPr>
      <w:r>
        <w:t xml:space="preserve">Hrvatska je dio inicijative FAB-a CE kojom se planira uspostaviti funkcionalni blok zračnog prostora srednje Europe, te koja se sastoji od sedam zemalja članica. Osim što je članica FAB-a CE, Hrvatska je potpisnica ISIS programa koji ima za cilj implementirati SES regulativu u zemljama jugoistočne Europe. Regija jugoistočne Europe posebno je problematična i nestabilna zbog komplicirane političke situacije, društvenih previranja i povijesnih činjenica, stoga je bliska suradnja između zemalja članica spomenute regije složeni zadatak. Hrvatska koja se geografski nalazi na granici regije srednje i jugoistočne Europe trebala bi se maksimalno orijentirati i usmjeravati svoju prometnu politiku prema inicijativama regije srednje Europe, kako bi se razvijala istom dinamikom kao i ostale europske zemlje, prateći u stopu razvoj europskog ATM sustava. Međutim, Hrvatska treba pomagati i surađivati sa južnim i jugoistočnim susjednim zemljama, ukoliko želi maksimalno iskoristiti svoju poziciju unutar FAB-a CE i doprinijeti ukupnom regionalnom razvoju. Iz tog razloga od iznimne je važnosti sudjelovanje Hrvatske u ISIS programu. </w:t>
      </w:r>
    </w:p>
    <w:p w:rsidR="001646BE" w:rsidRDefault="001646BE" w:rsidP="008859AB">
      <w:pPr>
        <w:ind w:firstLine="360"/>
      </w:pPr>
      <w:r>
        <w:lastRenderedPageBreak/>
        <w:t xml:space="preserve">Funkcionalni blok zračnog prostora srednje Europe (FAB CE), iako je po prostornim i prometnim parametrima jedan od najmanjih u Europi, ima najveći broj zemalja koje participiraju u jednom FAB-u. Zemlje članice površinom i prometnim udjelima zauzimaju i ostvaruju skromne rezultate u usporedbi s europskim prosjekom, međutim prometno značenje FAB-a CE strateški je vrlo bitno iz nekoliko razloga. Velik broj ANSP-a na relativno malom području regije srednje Europe u znatnoj mjeri guši protok zračnog prometa, posebice ako se uzme u obzir da navedenim područjem prolazi jedan od najprometnijih prometnih koridora u Europi - jugoistočna os (Austrija - Hrvatska - Grčka - Cipar). Uspostava FAB-a CE racionalni je način da zemlje srednje Europe brane vlastite interese unutar europskog ATM-a, optimiziraju poslovanje i unaprijede efikasnost zračnog prometa u regiji, a time i na nacionalnoj razini. Razvoj FAB-a CE temelji se na implementaciji tri scenarija koji se nadograđuju jedan na drugoga sve do uspostave operativnosti FAB-a CE što se očekuje 2012. godine. Potpisivanje FAB sporazuma nužan je uvjet daljnjem razvoju i nastavku uspostave FAB-a CE. S obzirom da je spomenuti sporazum potpisan u svibnju 2011. godine, realno je očekivati ratifikaciju istog i skoru uspostavu FAB-a CE prema okvirnim planovima. </w:t>
      </w:r>
    </w:p>
    <w:p w:rsidR="001646BE" w:rsidRDefault="001646BE" w:rsidP="00BD5113">
      <w:pPr>
        <w:ind w:firstLine="360"/>
      </w:pPr>
      <w:r>
        <w:t xml:space="preserve">Hrvatska unutar FAB-a CE zauzima iznimno bitnu poziciju s obzirom na prometni značaj i geografski položaj, koji presijecaju neki od važnijih prometnih tokova. Prometni značaj očituje se u činjenici da je Hrvatska u 2010. godini bilježila porast zračnog prometa od 10% što je gotovo dvostruko više od prosjeka FAB-a CE (4%). Osim toga, zagrebački sektor jedan je od najzagušenijih u regiji, te predstavlja jedno od kritičnih čvorišta europskog ATM-a.  Manjak kapaciteta i veliko ATFM kašnjenje u zračnom prostoru Hrvatske, koje je u posljednjih nekoliko godina variralo između 1,7 (2010.) – 3,5 minute (2008.), naglašava potrebu za efikasnijim rješenjima. Prema planovima uspostave FAB-a CE najzahtjevnija uloga stavlja se pred zagrebačku ATS jedinicu za koju se predviđa implementacija dinamičkog scenarija u suradnji sa ATS jedinicom Sarajevo. Dinamički scenarij podrazumijeva primjenu sofisticirane tehnologije, iznimnu uvježbanost osoblja i napredno upravljanje ATM sustavom. Hrvatski pružatelj usluga u zračnoj plovidbi, HKZP, opremljen je modernim i naprednim ATM sustavima (CroATM), te posluje izuzetno uspješno i produktivno. S obzirom da je Hrvatska na pragu ulaska u EU, te da se orijentira u odnosu na europsku legislativu i regulative, implementacija SES zahtijeva neće predstavljati problem. Također, Hrvatska se po svim parametrima učinkovitosti i ekonomske isplativosti sustava upravljanja zračnim prometom (ATM troškovi, troškovi ATCO-a i ostalim troškovima) smješta unutar prosječnih vrijednosti FAB-a CE. </w:t>
      </w:r>
    </w:p>
    <w:p w:rsidR="001646BE" w:rsidRDefault="001646BE" w:rsidP="00BD5113">
      <w:pPr>
        <w:ind w:firstLine="360"/>
      </w:pPr>
      <w:r>
        <w:lastRenderedPageBreak/>
        <w:t xml:space="preserve">Hrvatsku odlikuje iznimno povoljna situaciju unutar FAB-a CE, te bi se prema svim parametrima trebala pozicionirati u jednog od lidera unutar FAB-a. Hrvatska bilježi visoku stopu rasta zračnog prometa, te bi prema planovima razvoja FAB-a CE, trebala biti prva zemlja članica koja će implementirati dinamički scenarij. Upravo tu prednost je potrebno iskoristiti kao dodatni impuls razvoju ATM sustava. Povoljan geografski položaj, kojim se proteže jugoistočna os zračnog prometa generira visoke razine rasta zračnog prometa, predstavlja priliku za ostvarenje visoke razine preleta i generiranja znatne financijske dobiti. Jedan od preduvjeta tome je smanjenje visoke razine ATFM kašnjenja, optimizacija zračnog prostora i rutne mreže, a time i povećanje kapaciteta. Uspostavom i članstvom u FAB-u CE Hrvatska ima priliku efikasno riješiti najveće probleme nacionalnog ATM sustava, iskoristiti prilike koje se pružaju implementacijom FAB-a, znatno doprinijeti učinkovitosti zračnog prometa u regiji, te se pozicionirati kao jedan od lidera u sustavu upravljanja zračnim prometom srednje Europe. </w:t>
      </w:r>
    </w:p>
    <w:p w:rsidR="001646BE" w:rsidRDefault="001646BE" w:rsidP="00D126AF"/>
    <w:p w:rsidR="001646BE" w:rsidRDefault="001646BE" w:rsidP="00D126AF"/>
    <w:p w:rsidR="001646BE" w:rsidRDefault="001646BE" w:rsidP="00D126AF"/>
    <w:p w:rsidR="001646BE" w:rsidRDefault="001646BE" w:rsidP="00D126AF"/>
    <w:p w:rsidR="001646BE" w:rsidRDefault="001646BE" w:rsidP="00D126AF"/>
    <w:p w:rsidR="001646BE" w:rsidRDefault="001646BE" w:rsidP="00D126AF"/>
    <w:p w:rsidR="001646BE" w:rsidRDefault="001646BE" w:rsidP="00D126AF"/>
    <w:p w:rsidR="001646BE" w:rsidRDefault="001646BE" w:rsidP="00D126AF"/>
    <w:p w:rsidR="001646BE" w:rsidRDefault="001646BE" w:rsidP="00D126AF"/>
    <w:p w:rsidR="001646BE" w:rsidRDefault="001646BE" w:rsidP="00D126AF"/>
    <w:p w:rsidR="001646BE" w:rsidRDefault="001646BE" w:rsidP="00D126AF"/>
    <w:p w:rsidR="001646BE" w:rsidRDefault="001646BE" w:rsidP="005A05BD"/>
    <w:p w:rsidR="001646BE" w:rsidRDefault="001646BE" w:rsidP="005A05BD"/>
    <w:p w:rsidR="001646BE" w:rsidRDefault="001646BE" w:rsidP="005A05BD"/>
    <w:p w:rsidR="001646BE" w:rsidRDefault="001646BE" w:rsidP="003C0466">
      <w:pPr>
        <w:pStyle w:val="Heading1"/>
        <w:numPr>
          <w:ilvl w:val="0"/>
          <w:numId w:val="0"/>
        </w:numPr>
      </w:pPr>
      <w:bookmarkStart w:id="55" w:name="_Toc296339044"/>
      <w:r>
        <w:lastRenderedPageBreak/>
        <w:t>LITERATURA</w:t>
      </w:r>
      <w:bookmarkEnd w:id="55"/>
    </w:p>
    <w:p w:rsidR="001646BE" w:rsidRDefault="001646BE" w:rsidP="00D126AF"/>
    <w:p w:rsidR="001646BE" w:rsidRDefault="001646BE" w:rsidP="005A74CA">
      <w:pPr>
        <w:pStyle w:val="ListParagraph"/>
        <w:numPr>
          <w:ilvl w:val="0"/>
          <w:numId w:val="32"/>
        </w:numPr>
      </w:pPr>
      <w:bookmarkStart w:id="56" w:name="_Ref295924113"/>
      <w:r>
        <w:t xml:space="preserve">Communication from the Commission to the Council and the European Parliament: </w:t>
      </w:r>
      <w:r w:rsidRPr="006A1996">
        <w:rPr>
          <w:i/>
          <w:iCs/>
        </w:rPr>
        <w:t>The creation of the single European sky</w:t>
      </w:r>
      <w:r>
        <w:rPr>
          <w:i/>
          <w:iCs/>
        </w:rPr>
        <w:t xml:space="preserve">, </w:t>
      </w:r>
      <w:r>
        <w:t>Brussels 1999.</w:t>
      </w:r>
      <w:bookmarkEnd w:id="56"/>
    </w:p>
    <w:p w:rsidR="001646BE" w:rsidRPr="00D51818" w:rsidRDefault="001646BE" w:rsidP="005A74CA">
      <w:pPr>
        <w:pStyle w:val="ListParagraph"/>
        <w:numPr>
          <w:ilvl w:val="0"/>
          <w:numId w:val="32"/>
        </w:numPr>
        <w:rPr>
          <w:i/>
          <w:iCs/>
        </w:rPr>
      </w:pPr>
      <w:bookmarkStart w:id="57" w:name="_Ref295933979"/>
      <w:r w:rsidRPr="00154583">
        <w:t>European Commission</w:t>
      </w:r>
      <w:r>
        <w:t xml:space="preserve"> </w:t>
      </w:r>
      <w:r w:rsidRPr="00154583">
        <w:t>Directorate-General for Energy and Transport</w:t>
      </w:r>
      <w:r>
        <w:t xml:space="preserve">: </w:t>
      </w:r>
      <w:r w:rsidRPr="00D51818">
        <w:rPr>
          <w:i/>
          <w:iCs/>
        </w:rPr>
        <w:t xml:space="preserve">Single European Sky, Report of the high level group, </w:t>
      </w:r>
      <w:r>
        <w:t>Brussels, 2000.</w:t>
      </w:r>
      <w:bookmarkEnd w:id="57"/>
      <w:r>
        <w:t xml:space="preserve"> </w:t>
      </w:r>
    </w:p>
    <w:p w:rsidR="001646BE" w:rsidRDefault="001646BE" w:rsidP="005A74CA">
      <w:pPr>
        <w:pStyle w:val="ListParagraph"/>
        <w:numPr>
          <w:ilvl w:val="0"/>
          <w:numId w:val="32"/>
        </w:numPr>
      </w:pPr>
      <w:bookmarkStart w:id="58" w:name="_Ref295934115"/>
      <w:r>
        <w:t>Regulation</w:t>
      </w:r>
      <w:r w:rsidRPr="00B86EEE">
        <w:t xml:space="preserve"> (EC) No 549/2004 </w:t>
      </w:r>
      <w:r>
        <w:t xml:space="preserve">of the European Parliament and of the Council: </w:t>
      </w:r>
      <w:r w:rsidRPr="00B86EEE">
        <w:rPr>
          <w:i/>
          <w:iCs/>
        </w:rPr>
        <w:t>Laying down the framework for the creation of the single European sky (the framework Regulation)</w:t>
      </w:r>
      <w:r>
        <w:t>, 2004.</w:t>
      </w:r>
      <w:bookmarkEnd w:id="58"/>
    </w:p>
    <w:p w:rsidR="001646BE" w:rsidRPr="00D13BD0" w:rsidRDefault="001646BE" w:rsidP="005A74CA">
      <w:pPr>
        <w:pStyle w:val="ListParagraph"/>
        <w:numPr>
          <w:ilvl w:val="0"/>
          <w:numId w:val="32"/>
        </w:numPr>
        <w:rPr>
          <w:i/>
          <w:iCs/>
        </w:rPr>
      </w:pPr>
      <w:r w:rsidRPr="004A42F0">
        <w:t>R</w:t>
      </w:r>
      <w:r>
        <w:t>egulation</w:t>
      </w:r>
      <w:r w:rsidRPr="004A42F0">
        <w:t xml:space="preserve"> (EC) No 1070/2009 </w:t>
      </w:r>
      <w:r>
        <w:t xml:space="preserve">of the European Parliament and of the Council: </w:t>
      </w:r>
      <w:r w:rsidRPr="00D13BD0">
        <w:rPr>
          <w:i/>
          <w:iCs/>
        </w:rPr>
        <w:t>Amending Regulations (EC) No 549/2004, (EC) No 550/2004, (EC) No 551/2004 and (EC) No 552/2004 in order to improve the performance and sustainability of the European aviation system</w:t>
      </w:r>
      <w:r>
        <w:rPr>
          <w:i/>
          <w:iCs/>
        </w:rPr>
        <w:t xml:space="preserve">, </w:t>
      </w:r>
      <w:r>
        <w:t>2009.</w:t>
      </w:r>
    </w:p>
    <w:p w:rsidR="001646BE" w:rsidRDefault="001646BE" w:rsidP="005A74CA">
      <w:pPr>
        <w:pStyle w:val="ListParagraph"/>
        <w:numPr>
          <w:ilvl w:val="0"/>
          <w:numId w:val="32"/>
        </w:numPr>
      </w:pPr>
      <w:bookmarkStart w:id="59" w:name="_Ref295934484"/>
      <w:r w:rsidRPr="00B66AE5">
        <w:t>R</w:t>
      </w:r>
      <w:r>
        <w:t>egulation</w:t>
      </w:r>
      <w:r w:rsidRPr="00B66AE5">
        <w:t xml:space="preserve"> (EC) No 550/2004 </w:t>
      </w:r>
      <w:r>
        <w:t xml:space="preserve">of the European Parliament and of the Council: </w:t>
      </w:r>
      <w:r w:rsidRPr="00B66AE5">
        <w:rPr>
          <w:i/>
          <w:iCs/>
        </w:rPr>
        <w:t>On the provision of air navigation services in the single European sky (the service provision Regulation)</w:t>
      </w:r>
      <w:r>
        <w:rPr>
          <w:i/>
          <w:iCs/>
        </w:rPr>
        <w:t>,</w:t>
      </w:r>
      <w:r>
        <w:t xml:space="preserve"> 2004.</w:t>
      </w:r>
      <w:bookmarkEnd w:id="59"/>
    </w:p>
    <w:p w:rsidR="001646BE" w:rsidRPr="00B66AE5" w:rsidRDefault="001646BE" w:rsidP="005A74CA">
      <w:pPr>
        <w:pStyle w:val="ListParagraph"/>
        <w:numPr>
          <w:ilvl w:val="0"/>
          <w:numId w:val="32"/>
        </w:numPr>
        <w:rPr>
          <w:i/>
          <w:iCs/>
        </w:rPr>
      </w:pPr>
      <w:bookmarkStart w:id="60" w:name="_Ref295934954"/>
      <w:r>
        <w:t>Regulation (EC) No 551</w:t>
      </w:r>
      <w:r w:rsidRPr="00B66AE5">
        <w:t xml:space="preserve">/2004 </w:t>
      </w:r>
      <w:r>
        <w:t xml:space="preserve">of the European Parliament and of the Council: </w:t>
      </w:r>
      <w:r w:rsidRPr="00B66AE5">
        <w:rPr>
          <w:i/>
          <w:iCs/>
        </w:rPr>
        <w:t>On the organisation and use of the airspace in the single European sky (the airspace Regulation)</w:t>
      </w:r>
      <w:r>
        <w:rPr>
          <w:i/>
          <w:iCs/>
        </w:rPr>
        <w:t xml:space="preserve">, </w:t>
      </w:r>
      <w:r>
        <w:t>2004.</w:t>
      </w:r>
      <w:bookmarkEnd w:id="60"/>
    </w:p>
    <w:p w:rsidR="001646BE" w:rsidRPr="00B06D69" w:rsidRDefault="001646BE" w:rsidP="00B06D69">
      <w:pPr>
        <w:pStyle w:val="ListParagraph"/>
        <w:numPr>
          <w:ilvl w:val="0"/>
          <w:numId w:val="32"/>
        </w:numPr>
        <w:rPr>
          <w:i/>
          <w:iCs/>
        </w:rPr>
      </w:pPr>
      <w:bookmarkStart w:id="61" w:name="_Ref295935184"/>
      <w:r>
        <w:t>Regulation (EC) No 552</w:t>
      </w:r>
      <w:r w:rsidRPr="00B66AE5">
        <w:t xml:space="preserve">/2004 </w:t>
      </w:r>
      <w:r>
        <w:t xml:space="preserve">of the European Parliament and of the Council: </w:t>
      </w:r>
      <w:r w:rsidRPr="00B66AE5">
        <w:rPr>
          <w:i/>
          <w:iCs/>
        </w:rPr>
        <w:t>On the interoperability of the European Air Traffic Management network (the interoperability Regulation)</w:t>
      </w:r>
      <w:r>
        <w:rPr>
          <w:i/>
          <w:iCs/>
        </w:rPr>
        <w:t xml:space="preserve">, </w:t>
      </w:r>
      <w:r>
        <w:t>2004.</w:t>
      </w:r>
      <w:bookmarkEnd w:id="61"/>
      <w:r w:rsidRPr="00B06D69">
        <w:t xml:space="preserve"> </w:t>
      </w:r>
    </w:p>
    <w:bookmarkStart w:id="62" w:name="_Ref295935626"/>
    <w:p w:rsidR="001646BE" w:rsidRPr="00940806" w:rsidRDefault="004D5F73" w:rsidP="0066092C">
      <w:pPr>
        <w:pStyle w:val="ListParagraph"/>
        <w:numPr>
          <w:ilvl w:val="0"/>
          <w:numId w:val="32"/>
        </w:numPr>
        <w:rPr>
          <w:i/>
          <w:iCs/>
        </w:rPr>
      </w:pPr>
      <w:r>
        <w:fldChar w:fldCharType="begin"/>
      </w:r>
      <w:r w:rsidR="001646BE">
        <w:instrText>HYPERLINK "http://www.skybrary.aero"</w:instrText>
      </w:r>
      <w:r>
        <w:fldChar w:fldCharType="separate"/>
      </w:r>
      <w:r w:rsidR="001646BE" w:rsidRPr="00940806">
        <w:rPr>
          <w:rStyle w:val="Hyperlink"/>
          <w:color w:val="auto"/>
          <w:u w:val="none"/>
        </w:rPr>
        <w:t>http://www.skybrary.aero</w:t>
      </w:r>
      <w:r>
        <w:fldChar w:fldCharType="end"/>
      </w:r>
    </w:p>
    <w:p w:rsidR="001646BE" w:rsidRPr="00B06D69" w:rsidRDefault="001646BE" w:rsidP="00B06D69">
      <w:pPr>
        <w:pStyle w:val="ListParagraph"/>
        <w:numPr>
          <w:ilvl w:val="0"/>
          <w:numId w:val="32"/>
        </w:numPr>
        <w:rPr>
          <w:i/>
          <w:iCs/>
        </w:rPr>
      </w:pPr>
      <w:r>
        <w:t>Communication from the Commission to the European Parliament, the Council, the European Economic and Social Commitee and the Committee of the Regions:</w:t>
      </w:r>
      <w:r w:rsidRPr="006748DC">
        <w:rPr>
          <w:i/>
          <w:iCs/>
        </w:rPr>
        <w:t xml:space="preserve"> Single European Sky II: towards more sustainable and better performing aviation</w:t>
      </w:r>
      <w:r>
        <w:rPr>
          <w:i/>
          <w:iCs/>
        </w:rPr>
        <w:t xml:space="preserve">, </w:t>
      </w:r>
      <w:r>
        <w:t>2008.</w:t>
      </w:r>
      <w:bookmarkEnd w:id="62"/>
    </w:p>
    <w:p w:rsidR="001646BE" w:rsidRPr="00B06D69" w:rsidRDefault="001646BE" w:rsidP="00B06D69">
      <w:pPr>
        <w:pStyle w:val="ListParagraph"/>
        <w:numPr>
          <w:ilvl w:val="0"/>
          <w:numId w:val="32"/>
        </w:numPr>
        <w:rPr>
          <w:i/>
          <w:iCs/>
        </w:rPr>
      </w:pPr>
      <w:bookmarkStart w:id="63" w:name="_Ref295935628"/>
      <w:r w:rsidRPr="00154583">
        <w:lastRenderedPageBreak/>
        <w:t>European Commission</w:t>
      </w:r>
      <w:r>
        <w:t xml:space="preserve"> </w:t>
      </w:r>
      <w:r w:rsidRPr="00154583">
        <w:t>Directorate-General for Energy and Transport</w:t>
      </w:r>
      <w:r>
        <w:t>:</w:t>
      </w:r>
      <w:r>
        <w:rPr>
          <w:rFonts w:ascii="Arial,Bold" w:hAnsi="Arial,Bold" w:cs="Arial,Bold"/>
          <w:b/>
          <w:bCs/>
          <w:color w:val="000000"/>
          <w:sz w:val="72"/>
          <w:szCs w:val="72"/>
        </w:rPr>
        <w:t xml:space="preserve"> </w:t>
      </w:r>
      <w:r w:rsidRPr="00E3514D">
        <w:rPr>
          <w:i/>
          <w:iCs/>
        </w:rPr>
        <w:t>Single Sky II and the</w:t>
      </w:r>
      <w:r>
        <w:rPr>
          <w:i/>
          <w:iCs/>
        </w:rPr>
        <w:t xml:space="preserve"> </w:t>
      </w:r>
      <w:r w:rsidRPr="00E3514D">
        <w:rPr>
          <w:i/>
          <w:iCs/>
        </w:rPr>
        <w:t>aviation package Achieving more sustainable and better performing aviation</w:t>
      </w:r>
      <w:r>
        <w:rPr>
          <w:i/>
          <w:iCs/>
        </w:rPr>
        <w:t xml:space="preserve">, </w:t>
      </w:r>
      <w:r>
        <w:t>2009.</w:t>
      </w:r>
      <w:bookmarkEnd w:id="63"/>
      <w:r w:rsidRPr="00B06D69">
        <w:t xml:space="preserve"> </w:t>
      </w:r>
    </w:p>
    <w:p w:rsidR="001646BE" w:rsidRPr="00B06D69" w:rsidRDefault="001646BE" w:rsidP="00B06D69">
      <w:pPr>
        <w:pStyle w:val="ListParagraph"/>
        <w:numPr>
          <w:ilvl w:val="0"/>
          <w:numId w:val="32"/>
        </w:numPr>
        <w:rPr>
          <w:i/>
          <w:iCs/>
        </w:rPr>
      </w:pPr>
      <w:bookmarkStart w:id="64" w:name="_Ref295935693"/>
      <w:r>
        <w:t>ATM - Stakeholders Forum SES, 2010. (</w:t>
      </w:r>
      <w:hyperlink r:id="rId64" w:history="1">
        <w:r w:rsidRPr="00D3186B">
          <w:rPr>
            <w:rStyle w:val="Hyperlink"/>
            <w:color w:val="auto"/>
            <w:u w:val="none"/>
          </w:rPr>
          <w:t>http://ebookbrowse.com/atm-stakeholders-forum-ses-posted-june-2010-pdf-d44957989</w:t>
        </w:r>
      </w:hyperlink>
      <w:r w:rsidRPr="00D3186B">
        <w:t>)</w:t>
      </w:r>
      <w:bookmarkEnd w:id="64"/>
    </w:p>
    <w:p w:rsidR="001646BE" w:rsidRPr="00B06D69" w:rsidRDefault="001646BE" w:rsidP="00B06D69">
      <w:pPr>
        <w:pStyle w:val="ListParagraph"/>
        <w:numPr>
          <w:ilvl w:val="0"/>
          <w:numId w:val="32"/>
        </w:numPr>
        <w:rPr>
          <w:i/>
          <w:iCs/>
        </w:rPr>
      </w:pPr>
      <w:bookmarkStart w:id="65" w:name="_Ref295936050"/>
      <w:r>
        <w:t>Commission regulation</w:t>
      </w:r>
      <w:r w:rsidRPr="006748DC">
        <w:t xml:space="preserve"> (EU) No 691/2010</w:t>
      </w:r>
      <w:r>
        <w:t xml:space="preserve">: </w:t>
      </w:r>
      <w:r w:rsidRPr="006748DC">
        <w:rPr>
          <w:i/>
          <w:iCs/>
        </w:rPr>
        <w:t>Laying down a performance scheme for air navigation services and network functions and amending Regulation (EC) No 2096/2005 laying down common requirements for the provision of air navigation services</w:t>
      </w:r>
      <w:r>
        <w:rPr>
          <w:i/>
          <w:iCs/>
        </w:rPr>
        <w:t xml:space="preserve">, </w:t>
      </w:r>
      <w:r>
        <w:t>2010.</w:t>
      </w:r>
      <w:bookmarkEnd w:id="65"/>
    </w:p>
    <w:p w:rsidR="001646BE" w:rsidRPr="00F36C30" w:rsidRDefault="001646BE" w:rsidP="005A74CA">
      <w:pPr>
        <w:pStyle w:val="ListParagraph"/>
        <w:numPr>
          <w:ilvl w:val="0"/>
          <w:numId w:val="32"/>
        </w:numPr>
        <w:rPr>
          <w:i/>
          <w:iCs/>
        </w:rPr>
      </w:pPr>
      <w:bookmarkStart w:id="66" w:name="_Ref296005332"/>
      <w:r>
        <w:t>Regulation (EC) No 1108/2009</w:t>
      </w:r>
      <w:r w:rsidRPr="009E521D">
        <w:t xml:space="preserve"> </w:t>
      </w:r>
      <w:r>
        <w:t xml:space="preserve">of the European Parliament and of the Council: </w:t>
      </w:r>
      <w:r w:rsidRPr="00F36C30">
        <w:rPr>
          <w:i/>
          <w:iCs/>
        </w:rPr>
        <w:t>Amending Regulation (EC) No 216/2008 in the field of aerodromes, air traffic management and air navigation services and repealing Directive 2006/23/EC</w:t>
      </w:r>
      <w:r>
        <w:rPr>
          <w:i/>
          <w:iCs/>
        </w:rPr>
        <w:t xml:space="preserve">, </w:t>
      </w:r>
      <w:r>
        <w:t>2009.</w:t>
      </w:r>
      <w:bookmarkEnd w:id="66"/>
    </w:p>
    <w:bookmarkStart w:id="67" w:name="_Ref296005420"/>
    <w:p w:rsidR="001646BE" w:rsidRPr="00940806" w:rsidRDefault="004D5F73" w:rsidP="0066092C">
      <w:pPr>
        <w:pStyle w:val="ListParagraph"/>
        <w:numPr>
          <w:ilvl w:val="0"/>
          <w:numId w:val="32"/>
        </w:numPr>
        <w:rPr>
          <w:i/>
          <w:iCs/>
        </w:rPr>
      </w:pPr>
      <w:r>
        <w:fldChar w:fldCharType="begin"/>
      </w:r>
      <w:r w:rsidR="001646BE">
        <w:instrText>HYPERLINK "http://www.eurocontrol.int"</w:instrText>
      </w:r>
      <w:r>
        <w:fldChar w:fldCharType="separate"/>
      </w:r>
      <w:r w:rsidR="001646BE" w:rsidRPr="00940806">
        <w:rPr>
          <w:rStyle w:val="Hyperlink"/>
          <w:color w:val="auto"/>
          <w:u w:val="none"/>
        </w:rPr>
        <w:t>http://www.eurocontrol.int</w:t>
      </w:r>
      <w:r>
        <w:fldChar w:fldCharType="end"/>
      </w:r>
    </w:p>
    <w:p w:rsidR="001646BE" w:rsidRDefault="001646BE" w:rsidP="005A74CA">
      <w:pPr>
        <w:pStyle w:val="ListParagraph"/>
        <w:numPr>
          <w:ilvl w:val="0"/>
          <w:numId w:val="32"/>
        </w:numPr>
      </w:pPr>
      <w:r>
        <w:t>Council regulation</w:t>
      </w:r>
      <w:r w:rsidRPr="00AA7ADD">
        <w:t xml:space="preserve"> (EC) No 219/2007</w:t>
      </w:r>
      <w:r>
        <w:t xml:space="preserve">: </w:t>
      </w:r>
      <w:r w:rsidRPr="00AA7ADD">
        <w:rPr>
          <w:i/>
          <w:iCs/>
        </w:rPr>
        <w:t>On the establishment of a Joint Undertaking to develop the new generation European air traffic management system (SESAR)</w:t>
      </w:r>
      <w:r>
        <w:rPr>
          <w:i/>
          <w:iCs/>
        </w:rPr>
        <w:t xml:space="preserve">, </w:t>
      </w:r>
      <w:r>
        <w:t>2007.</w:t>
      </w:r>
      <w:bookmarkEnd w:id="67"/>
    </w:p>
    <w:p w:rsidR="001646BE" w:rsidRPr="00336642" w:rsidRDefault="001646BE" w:rsidP="005A74CA">
      <w:pPr>
        <w:pStyle w:val="ListParagraph"/>
        <w:numPr>
          <w:ilvl w:val="0"/>
          <w:numId w:val="32"/>
        </w:numPr>
        <w:rPr>
          <w:i/>
          <w:iCs/>
        </w:rPr>
      </w:pPr>
      <w:r>
        <w:t>Communication from the Commission</w:t>
      </w:r>
      <w:r w:rsidRPr="00336642">
        <w:t xml:space="preserve"> </w:t>
      </w:r>
      <w:r>
        <w:t>to the Council</w:t>
      </w:r>
      <w:r w:rsidRPr="00336642">
        <w:t xml:space="preserve">, </w:t>
      </w:r>
      <w:r>
        <w:t>the European Parliament</w:t>
      </w:r>
      <w:r w:rsidRPr="00336642">
        <w:t xml:space="preserve">, </w:t>
      </w:r>
      <w:r>
        <w:t xml:space="preserve">the European Economic and Social Commitee and the Committee of the Regions: </w:t>
      </w:r>
      <w:r w:rsidRPr="00336642">
        <w:rPr>
          <w:i/>
          <w:iCs/>
        </w:rPr>
        <w:t>An action plan for airport capacity, efficiency and safety in Europe</w:t>
      </w:r>
      <w:r>
        <w:rPr>
          <w:i/>
          <w:iCs/>
        </w:rPr>
        <w:t xml:space="preserve">, </w:t>
      </w:r>
      <w:r>
        <w:t>2007.</w:t>
      </w:r>
    </w:p>
    <w:p w:rsidR="001646BE" w:rsidRPr="00940806" w:rsidRDefault="001646BE" w:rsidP="005A74CA">
      <w:pPr>
        <w:pStyle w:val="ListParagraph"/>
        <w:numPr>
          <w:ilvl w:val="0"/>
          <w:numId w:val="32"/>
        </w:numPr>
        <w:rPr>
          <w:i/>
          <w:iCs/>
        </w:rPr>
      </w:pPr>
      <w:bookmarkStart w:id="68" w:name="_Ref296006029"/>
      <w:r w:rsidRPr="00336642">
        <w:t xml:space="preserve">Performance Review Commision: </w:t>
      </w:r>
      <w:r w:rsidRPr="00336642">
        <w:rPr>
          <w:i/>
          <w:iCs/>
        </w:rPr>
        <w:t>“Evaluation of FAB initiatives and their contribution to performance improvement“</w:t>
      </w:r>
      <w:r w:rsidRPr="00336642">
        <w:t>, Eurocontrol 2008.</w:t>
      </w:r>
      <w:bookmarkEnd w:id="68"/>
    </w:p>
    <w:p w:rsidR="001646BE" w:rsidRPr="00940806" w:rsidRDefault="001646BE" w:rsidP="005A74CA">
      <w:pPr>
        <w:pStyle w:val="ListParagraph"/>
        <w:numPr>
          <w:ilvl w:val="0"/>
          <w:numId w:val="32"/>
        </w:numPr>
        <w:rPr>
          <w:i/>
          <w:iCs/>
        </w:rPr>
      </w:pPr>
      <w:r>
        <w:t>Communication from the Commission</w:t>
      </w:r>
      <w:r w:rsidRPr="00336642">
        <w:t xml:space="preserve"> </w:t>
      </w:r>
      <w:r>
        <w:t>to the Council</w:t>
      </w:r>
      <w:r w:rsidRPr="00940806">
        <w:t xml:space="preserve"> </w:t>
      </w:r>
      <w:r>
        <w:t>and</w:t>
      </w:r>
      <w:r w:rsidRPr="00940806">
        <w:t xml:space="preserve"> </w:t>
      </w:r>
      <w:r>
        <w:t xml:space="preserve">the European Parliament: </w:t>
      </w:r>
      <w:r w:rsidRPr="00940806">
        <w:rPr>
          <w:i/>
          <w:iCs/>
        </w:rPr>
        <w:t>Building the Single European Sky through functional airspace blocks: A mid-term status,</w:t>
      </w:r>
      <w:r>
        <w:t xml:space="preserve"> Brussels, 2007.</w:t>
      </w:r>
    </w:p>
    <w:p w:rsidR="001646BE" w:rsidRPr="0066092C" w:rsidRDefault="001646BE" w:rsidP="005A74CA">
      <w:pPr>
        <w:pStyle w:val="ListParagraph"/>
        <w:numPr>
          <w:ilvl w:val="0"/>
          <w:numId w:val="32"/>
        </w:numPr>
        <w:rPr>
          <w:i/>
          <w:iCs/>
        </w:rPr>
      </w:pPr>
      <w:r>
        <w:t xml:space="preserve">The National Contracting Parties, the Eurocontrol and the European Organisation for the Safey of Air Navigation: </w:t>
      </w:r>
      <w:r w:rsidRPr="00FE7026">
        <w:rPr>
          <w:i/>
          <w:iCs/>
        </w:rPr>
        <w:t>Agreement relating to the provision and operation of air traffic services and facilities by Eurocontrol at the Central Europea</w:t>
      </w:r>
      <w:r>
        <w:rPr>
          <w:i/>
          <w:iCs/>
        </w:rPr>
        <w:t>n Air Traffic Services (CEATS) Upper Area Control C</w:t>
      </w:r>
      <w:r w:rsidRPr="00FE7026">
        <w:rPr>
          <w:i/>
          <w:iCs/>
        </w:rPr>
        <w:t>entre</w:t>
      </w:r>
      <w:r w:rsidRPr="00940806">
        <w:t>, Brussels 1997.</w:t>
      </w:r>
    </w:p>
    <w:p w:rsidR="001646BE" w:rsidRPr="0066092C" w:rsidRDefault="004D5F73" w:rsidP="0066092C">
      <w:pPr>
        <w:pStyle w:val="ListParagraph"/>
        <w:numPr>
          <w:ilvl w:val="0"/>
          <w:numId w:val="32"/>
        </w:numPr>
        <w:rPr>
          <w:i/>
          <w:iCs/>
        </w:rPr>
      </w:pPr>
      <w:hyperlink r:id="rId65" w:history="1">
        <w:r w:rsidR="001646BE" w:rsidRPr="00940806">
          <w:rPr>
            <w:rStyle w:val="Hyperlink"/>
            <w:color w:val="auto"/>
            <w:u w:val="none"/>
          </w:rPr>
          <w:t>http://ec.europa.eu/transport/index_en.htm</w:t>
        </w:r>
      </w:hyperlink>
    </w:p>
    <w:p w:rsidR="001646BE" w:rsidRPr="00940806" w:rsidRDefault="001646BE" w:rsidP="005A74CA">
      <w:pPr>
        <w:pStyle w:val="ListParagraph"/>
        <w:numPr>
          <w:ilvl w:val="0"/>
          <w:numId w:val="32"/>
        </w:numPr>
        <w:rPr>
          <w:i/>
          <w:iCs/>
        </w:rPr>
      </w:pPr>
      <w:r w:rsidRPr="00940806">
        <w:lastRenderedPageBreak/>
        <w:t xml:space="preserve">ISIS Programme 2009-2012: </w:t>
      </w:r>
      <w:r w:rsidRPr="00940806">
        <w:rPr>
          <w:i/>
          <w:iCs/>
        </w:rPr>
        <w:t xml:space="preserve">Supporting the implementation of Single European Sky in South East Europe, </w:t>
      </w:r>
      <w:r>
        <w:t>Brussels, 2010.</w:t>
      </w:r>
    </w:p>
    <w:p w:rsidR="001646BE" w:rsidRPr="005A05BD" w:rsidRDefault="004D5F73" w:rsidP="005A74CA">
      <w:pPr>
        <w:pStyle w:val="ListParagraph"/>
        <w:numPr>
          <w:ilvl w:val="0"/>
          <w:numId w:val="32"/>
        </w:numPr>
        <w:rPr>
          <w:i/>
          <w:iCs/>
        </w:rPr>
      </w:pPr>
      <w:hyperlink r:id="rId66" w:history="1">
        <w:r w:rsidR="001646BE" w:rsidRPr="00940806">
          <w:rPr>
            <w:lang w:eastAsia="hr-HR"/>
          </w:rPr>
          <w:t>http://www.paris.icao.int/news/pdf</w:t>
        </w:r>
      </w:hyperlink>
    </w:p>
    <w:p w:rsidR="001646BE" w:rsidRPr="00302801" w:rsidRDefault="001646BE" w:rsidP="005A74CA">
      <w:pPr>
        <w:pStyle w:val="ListParagraph"/>
        <w:numPr>
          <w:ilvl w:val="0"/>
          <w:numId w:val="32"/>
        </w:numPr>
        <w:rPr>
          <w:i/>
          <w:iCs/>
        </w:rPr>
      </w:pPr>
      <w:bookmarkStart w:id="69" w:name="_Ref296010505"/>
      <w:r w:rsidRPr="00D3186B">
        <w:t>FAB CE Project Management Office:</w:t>
      </w:r>
      <w:r w:rsidRPr="00D3186B">
        <w:rPr>
          <w:i/>
          <w:iCs/>
        </w:rPr>
        <w:t xml:space="preserve"> Feasibility Study, Master Plan, </w:t>
      </w:r>
      <w:r w:rsidRPr="00D3186B">
        <w:t>2008.</w:t>
      </w:r>
      <w:bookmarkEnd w:id="69"/>
    </w:p>
    <w:p w:rsidR="001646BE" w:rsidRPr="005A05BD" w:rsidRDefault="001646BE" w:rsidP="00302801">
      <w:pPr>
        <w:pStyle w:val="ListParagraph"/>
        <w:numPr>
          <w:ilvl w:val="0"/>
          <w:numId w:val="32"/>
        </w:numPr>
        <w:rPr>
          <w:i/>
          <w:iCs/>
        </w:rPr>
      </w:pPr>
      <w:r>
        <w:t xml:space="preserve">EUROCONTROL, Directorate Network Management: </w:t>
      </w:r>
      <w:r w:rsidRPr="00D44593">
        <w:rPr>
          <w:i/>
          <w:iCs/>
        </w:rPr>
        <w:t>Network Operatons Report for 2010</w:t>
      </w:r>
      <w:r>
        <w:t>, March 2011.</w:t>
      </w:r>
    </w:p>
    <w:p w:rsidR="001646BE" w:rsidRPr="005A05BD" w:rsidRDefault="004D5F73" w:rsidP="005A05BD">
      <w:pPr>
        <w:pStyle w:val="ListParagraph"/>
        <w:numPr>
          <w:ilvl w:val="0"/>
          <w:numId w:val="32"/>
        </w:numPr>
        <w:rPr>
          <w:i/>
          <w:iCs/>
        </w:rPr>
      </w:pPr>
      <w:hyperlink r:id="rId67" w:history="1">
        <w:r w:rsidR="001646BE" w:rsidRPr="00940806">
          <w:rPr>
            <w:rStyle w:val="Hyperlink"/>
            <w:color w:val="auto"/>
            <w:u w:val="none"/>
          </w:rPr>
          <w:t>http://www.crocontrol.hr</w:t>
        </w:r>
      </w:hyperlink>
    </w:p>
    <w:p w:rsidR="001646BE" w:rsidRPr="00BA250C" w:rsidRDefault="001646BE" w:rsidP="005A74CA">
      <w:pPr>
        <w:pStyle w:val="ListParagraph"/>
        <w:numPr>
          <w:ilvl w:val="0"/>
          <w:numId w:val="32"/>
        </w:numPr>
        <w:rPr>
          <w:i/>
          <w:iCs/>
        </w:rPr>
      </w:pPr>
      <w:r>
        <w:t xml:space="preserve">Hrvatska kontrola zračne plovidbe: </w:t>
      </w:r>
      <w:r w:rsidRPr="00D44593">
        <w:rPr>
          <w:i/>
          <w:iCs/>
        </w:rPr>
        <w:t>Godišnji izvještaj o stanju društva za 2009. godinu</w:t>
      </w:r>
      <w:r>
        <w:t>, Zagreb.</w:t>
      </w:r>
    </w:p>
    <w:p w:rsidR="00BA250C" w:rsidRPr="00BA250C" w:rsidRDefault="00BA250C" w:rsidP="005A74CA">
      <w:pPr>
        <w:pStyle w:val="ListParagraph"/>
        <w:numPr>
          <w:ilvl w:val="0"/>
          <w:numId w:val="32"/>
        </w:numPr>
        <w:rPr>
          <w:i/>
          <w:iCs/>
        </w:rPr>
      </w:pPr>
      <w:r>
        <w:t xml:space="preserve">Steiner, Sanja; Mihetec, Tomislav; Božičević, Ana: </w:t>
      </w:r>
      <w:r>
        <w:rPr>
          <w:i/>
        </w:rPr>
        <w:t>Prospects of Air Traffic Management in South Eastern Europe</w:t>
      </w:r>
      <w:r>
        <w:t>, Promet. 22 (2010).</w:t>
      </w:r>
    </w:p>
    <w:p w:rsidR="00BA250C" w:rsidRPr="00BA250C" w:rsidRDefault="00BA250C" w:rsidP="005A74CA">
      <w:pPr>
        <w:pStyle w:val="ListParagraph"/>
        <w:numPr>
          <w:ilvl w:val="0"/>
          <w:numId w:val="32"/>
        </w:numPr>
        <w:rPr>
          <w:i/>
          <w:iCs/>
        </w:rPr>
      </w:pPr>
      <w:r>
        <w:t>Steiner, Sanja; Božičević, Ana;</w:t>
      </w:r>
      <w:r w:rsidRPr="00BA250C">
        <w:t xml:space="preserve"> </w:t>
      </w:r>
      <w:r>
        <w:t xml:space="preserve">Mihetec, Tomislav: </w:t>
      </w:r>
      <w:r>
        <w:rPr>
          <w:i/>
        </w:rPr>
        <w:t>Determinants of European air traffic development</w:t>
      </w:r>
      <w:r>
        <w:t>, Transport Problems, International</w:t>
      </w:r>
      <w:r w:rsidRPr="00BA250C">
        <w:t xml:space="preserve"> </w:t>
      </w:r>
      <w:r>
        <w:t>Scientific Journal. 3 (2008).</w:t>
      </w:r>
    </w:p>
    <w:p w:rsidR="00BA250C" w:rsidRPr="00BA250C" w:rsidRDefault="00BA250C" w:rsidP="005A74CA">
      <w:pPr>
        <w:pStyle w:val="ListParagraph"/>
        <w:numPr>
          <w:ilvl w:val="0"/>
          <w:numId w:val="32"/>
        </w:numPr>
        <w:rPr>
          <w:i/>
          <w:iCs/>
        </w:rPr>
      </w:pPr>
      <w:r>
        <w:t xml:space="preserve">Mihetec, Tomislav; Jakšić, Zoran; Steiner Sanja: </w:t>
      </w:r>
      <w:r>
        <w:rPr>
          <w:i/>
        </w:rPr>
        <w:t>Implications in the Implementation of Functional Airspace Block Central Europe</w:t>
      </w:r>
      <w:r>
        <w:t>, Air Transport Research Society, 2010.</w:t>
      </w:r>
    </w:p>
    <w:p w:rsidR="00BA250C" w:rsidRPr="00321612" w:rsidRDefault="00BA250C" w:rsidP="005A74CA">
      <w:pPr>
        <w:pStyle w:val="ListParagraph"/>
        <w:numPr>
          <w:ilvl w:val="0"/>
          <w:numId w:val="32"/>
        </w:numPr>
        <w:rPr>
          <w:i/>
          <w:iCs/>
        </w:rPr>
      </w:pPr>
      <w:r>
        <w:t>Mihetec, Tomislav</w:t>
      </w:r>
      <w:r w:rsidR="00321612">
        <w:t>;</w:t>
      </w:r>
      <w:r w:rsidR="00321612" w:rsidRPr="00321612">
        <w:t xml:space="preserve"> </w:t>
      </w:r>
      <w:r w:rsidR="00321612">
        <w:t>Božičević, Ana;</w:t>
      </w:r>
      <w:r>
        <w:t xml:space="preserve"> </w:t>
      </w:r>
      <w:r w:rsidR="00321612">
        <w:t>Steiner, Sanja</w:t>
      </w:r>
      <w:r>
        <w:t>:</w:t>
      </w:r>
      <w:r w:rsidR="00321612">
        <w:t xml:space="preserve"> </w:t>
      </w:r>
      <w:r w:rsidR="00321612">
        <w:rPr>
          <w:i/>
        </w:rPr>
        <w:t>Air Traffic Management Reform in South Eastern Europe</w:t>
      </w:r>
      <w:r w:rsidR="00321612">
        <w:t>, 11th International Conference on Transport Science Transport Policy, Conference Proceedings, 2008.</w:t>
      </w:r>
    </w:p>
    <w:p w:rsidR="00082C38" w:rsidRPr="00082C38" w:rsidRDefault="00082C38" w:rsidP="005A74CA">
      <w:pPr>
        <w:pStyle w:val="ListParagraph"/>
        <w:numPr>
          <w:ilvl w:val="0"/>
          <w:numId w:val="32"/>
        </w:numPr>
        <w:rPr>
          <w:i/>
          <w:iCs/>
        </w:rPr>
      </w:pPr>
      <w:r>
        <w:rPr>
          <w:iCs/>
        </w:rPr>
        <w:t xml:space="preserve">Steiner, S.; Tatalović, M.; Bajić, J.: </w:t>
      </w:r>
      <w:r>
        <w:rPr>
          <w:i/>
          <w:iCs/>
        </w:rPr>
        <w:t>Competition and Cooperation on European South East Air Transport Market, Economic integrations, competition and cooperation, Research Monograph</w:t>
      </w:r>
      <w:r>
        <w:rPr>
          <w:iCs/>
        </w:rPr>
        <w:t>, Rijeka, 2010.</w:t>
      </w:r>
    </w:p>
    <w:p w:rsidR="001646BE" w:rsidRPr="002F7F7D" w:rsidRDefault="00082C38" w:rsidP="00D3186B">
      <w:pPr>
        <w:pStyle w:val="ListParagraph"/>
        <w:numPr>
          <w:ilvl w:val="0"/>
          <w:numId w:val="32"/>
        </w:numPr>
      </w:pPr>
      <w:r w:rsidRPr="002F7F7D">
        <w:rPr>
          <w:iCs/>
        </w:rPr>
        <w:t xml:space="preserve"> Steiner, Sanja; Božičević, Ana; Nikolić, Nenad: </w:t>
      </w:r>
      <w:r w:rsidRPr="002F7F7D">
        <w:rPr>
          <w:i/>
          <w:iCs/>
        </w:rPr>
        <w:t>Regionalni kontekst održivog prometnog razvitka</w:t>
      </w:r>
      <w:r w:rsidRPr="002F7F7D">
        <w:rPr>
          <w:iCs/>
        </w:rPr>
        <w:t xml:space="preserve">, HAZU, Znanstveno vijeće za promet, Zagreb, 2011. </w:t>
      </w:r>
    </w:p>
    <w:p w:rsidR="001646BE" w:rsidRDefault="001646BE" w:rsidP="00C15E69">
      <w:pPr>
        <w:pStyle w:val="Heading1"/>
        <w:numPr>
          <w:ilvl w:val="0"/>
          <w:numId w:val="0"/>
        </w:numPr>
        <w:ind w:left="720"/>
      </w:pPr>
    </w:p>
    <w:p w:rsidR="001646BE" w:rsidRDefault="001646BE" w:rsidP="00C14B58"/>
    <w:p w:rsidR="001646BE" w:rsidRPr="00DE689A" w:rsidRDefault="001646BE" w:rsidP="00331B98">
      <w:pPr>
        <w:rPr>
          <w:sz w:val="20"/>
          <w:szCs w:val="20"/>
        </w:rPr>
      </w:pPr>
    </w:p>
    <w:sectPr w:rsidR="001646BE" w:rsidRPr="00DE689A" w:rsidSect="007E4ADD">
      <w:footerReference w:type="default" r:id="rId68"/>
      <w:pgSz w:w="11906" w:h="16838"/>
      <w:pgMar w:top="1418" w:right="1418" w:bottom="1418" w:left="141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7882" w:rsidRDefault="009C7882" w:rsidP="000C2644">
      <w:pPr>
        <w:spacing w:after="0" w:line="240" w:lineRule="auto"/>
      </w:pPr>
      <w:r>
        <w:separator/>
      </w:r>
    </w:p>
  </w:endnote>
  <w:endnote w:type="continuationSeparator" w:id="0">
    <w:p w:rsidR="009C7882" w:rsidRDefault="009C7882" w:rsidP="000C264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EE"/>
    <w:family w:val="swiss"/>
    <w:pitch w:val="variable"/>
    <w:sig w:usb0="E10002FF" w:usb1="4000ACFF" w:usb2="00000009"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rial,Bold">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EE"/>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6526" w:rsidRDefault="004D5F73">
    <w:pPr>
      <w:pStyle w:val="Footer"/>
      <w:jc w:val="right"/>
    </w:pPr>
    <w:fldSimple w:instr=" PAGE   \* MERGEFORMAT ">
      <w:r w:rsidR="00003916">
        <w:rPr>
          <w:noProof/>
        </w:rPr>
        <w:t>1</w:t>
      </w:r>
    </w:fldSimple>
  </w:p>
  <w:p w:rsidR="00BB6526" w:rsidRDefault="00BB652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7882" w:rsidRDefault="009C7882" w:rsidP="000C2644">
      <w:pPr>
        <w:spacing w:after="0" w:line="240" w:lineRule="auto"/>
      </w:pPr>
      <w:r>
        <w:separator/>
      </w:r>
    </w:p>
  </w:footnote>
  <w:footnote w:type="continuationSeparator" w:id="0">
    <w:p w:rsidR="009C7882" w:rsidRDefault="009C7882" w:rsidP="000C2644">
      <w:pPr>
        <w:spacing w:after="0" w:line="240" w:lineRule="auto"/>
      </w:pPr>
      <w:r>
        <w:continuationSeparator/>
      </w:r>
    </w:p>
  </w:footnote>
  <w:footnote w:id="1">
    <w:p w:rsidR="00BB6526" w:rsidRDefault="00BB6526">
      <w:pPr>
        <w:pStyle w:val="FootnoteText"/>
      </w:pPr>
      <w:r>
        <w:rPr>
          <w:rStyle w:val="FootnoteReference"/>
        </w:rPr>
        <w:footnoteRef/>
      </w:r>
      <w:r>
        <w:t xml:space="preserve"> SES – (Single European Sky) Jedinstveno europsko nebo. </w:t>
      </w:r>
    </w:p>
  </w:footnote>
  <w:footnote w:id="2">
    <w:p w:rsidR="00BB6526" w:rsidRDefault="00BB6526">
      <w:pPr>
        <w:pStyle w:val="FootnoteText"/>
      </w:pPr>
      <w:r>
        <w:rPr>
          <w:rStyle w:val="FootnoteReference"/>
        </w:rPr>
        <w:footnoteRef/>
      </w:r>
      <w:r>
        <w:t xml:space="preserve"> HLG - (High Level Group) Grupa visokih predstavnika.</w:t>
      </w:r>
    </w:p>
  </w:footnote>
  <w:footnote w:id="3">
    <w:p w:rsidR="00BB6526" w:rsidRDefault="00BB6526">
      <w:pPr>
        <w:pStyle w:val="FootnoteText"/>
      </w:pPr>
      <w:r>
        <w:rPr>
          <w:rStyle w:val="FootnoteReference"/>
        </w:rPr>
        <w:footnoteRef/>
      </w:r>
      <w:r>
        <w:t xml:space="preserve"> ATC – (Air Traffic Control)  Kontrola zračnog prometa.</w:t>
      </w:r>
    </w:p>
  </w:footnote>
  <w:footnote w:id="4">
    <w:p w:rsidR="00BB6526" w:rsidRDefault="00BB6526">
      <w:pPr>
        <w:pStyle w:val="FootnoteText"/>
      </w:pPr>
      <w:r>
        <w:rPr>
          <w:rStyle w:val="FootnoteReference"/>
        </w:rPr>
        <w:footnoteRef/>
      </w:r>
      <w:r>
        <w:t xml:space="preserve"> CFMU - (Central Flow Management Unit ) Središnja jedinica za upravljanje protokom.</w:t>
      </w:r>
    </w:p>
  </w:footnote>
  <w:footnote w:id="5">
    <w:p w:rsidR="00BB6526" w:rsidRDefault="00BB6526">
      <w:pPr>
        <w:pStyle w:val="FootnoteText"/>
      </w:pPr>
      <w:r>
        <w:rPr>
          <w:rStyle w:val="FootnoteReference"/>
        </w:rPr>
        <w:footnoteRef/>
      </w:r>
      <w:r>
        <w:t xml:space="preserve"> ATM - (Air Traffic Management) Upravljanje zračnim prometom.</w:t>
      </w:r>
    </w:p>
  </w:footnote>
  <w:footnote w:id="6">
    <w:p w:rsidR="00BB6526" w:rsidRDefault="00BB6526">
      <w:pPr>
        <w:pStyle w:val="FootnoteText"/>
      </w:pPr>
      <w:r>
        <w:rPr>
          <w:rStyle w:val="FootnoteReference"/>
        </w:rPr>
        <w:footnoteRef/>
      </w:r>
      <w:r>
        <w:t xml:space="preserve"> ANSP - (Air Navigation Service Provider) Pružatelj usluga u zračnoj plovidbi.</w:t>
      </w:r>
    </w:p>
  </w:footnote>
  <w:footnote w:id="7">
    <w:p w:rsidR="00BB6526" w:rsidRDefault="00BB6526">
      <w:pPr>
        <w:pStyle w:val="FootnoteText"/>
      </w:pPr>
      <w:r>
        <w:rPr>
          <w:rStyle w:val="FootnoteReference"/>
        </w:rPr>
        <w:footnoteRef/>
      </w:r>
      <w:r>
        <w:t xml:space="preserve"> NSA - (National Supervisory Authorities) Nacionalno nadzorno tijelo.</w:t>
      </w:r>
    </w:p>
  </w:footnote>
  <w:footnote w:id="8">
    <w:p w:rsidR="00BB6526" w:rsidRDefault="00BB6526">
      <w:pPr>
        <w:pStyle w:val="FootnoteText"/>
      </w:pPr>
      <w:r>
        <w:rPr>
          <w:rStyle w:val="FootnoteReference"/>
        </w:rPr>
        <w:footnoteRef/>
      </w:r>
      <w:r>
        <w:t xml:space="preserve"> EATMN - (European Air Traffic Management Network) Europska mreža za upravljanje zračnim prometom.</w:t>
      </w:r>
    </w:p>
  </w:footnote>
  <w:footnote w:id="9">
    <w:p w:rsidR="00BB6526" w:rsidRDefault="00BB6526">
      <w:pPr>
        <w:pStyle w:val="FootnoteText"/>
      </w:pPr>
      <w:r>
        <w:rPr>
          <w:rStyle w:val="FootnoteReference"/>
        </w:rPr>
        <w:footnoteRef/>
      </w:r>
      <w:r>
        <w:t xml:space="preserve"> FAB - (Functional Airspace Block) Funkcionalni blok zračnog prostora. </w:t>
      </w:r>
    </w:p>
  </w:footnote>
  <w:footnote w:id="10">
    <w:p w:rsidR="00BB6526" w:rsidRDefault="00BB6526">
      <w:pPr>
        <w:pStyle w:val="FootnoteText"/>
      </w:pPr>
      <w:r>
        <w:rPr>
          <w:rStyle w:val="FootnoteReference"/>
        </w:rPr>
        <w:footnoteRef/>
      </w:r>
      <w:r>
        <w:t xml:space="preserve"> GAT - (General Air Traffic) Opći zračni promet.</w:t>
      </w:r>
    </w:p>
  </w:footnote>
  <w:footnote w:id="11">
    <w:p w:rsidR="00BB6526" w:rsidRDefault="00BB6526">
      <w:pPr>
        <w:pStyle w:val="FootnoteText"/>
      </w:pPr>
      <w:r>
        <w:rPr>
          <w:rStyle w:val="FootnoteReference"/>
        </w:rPr>
        <w:footnoteRef/>
      </w:r>
      <w:r>
        <w:t xml:space="preserve"> ICAO - (International Civil Aviation Organisation) Međunarodna organizacija civilnog zrakoplovstva.</w:t>
      </w:r>
    </w:p>
  </w:footnote>
  <w:footnote w:id="12">
    <w:p w:rsidR="00BB6526" w:rsidRDefault="00BB6526">
      <w:pPr>
        <w:pStyle w:val="FootnoteText"/>
      </w:pPr>
      <w:r>
        <w:rPr>
          <w:rStyle w:val="FootnoteReference"/>
        </w:rPr>
        <w:footnoteRef/>
      </w:r>
      <w:r>
        <w:t xml:space="preserve"> FIR - (Flight Information Region) Područje letnih informacija.</w:t>
      </w:r>
    </w:p>
  </w:footnote>
  <w:footnote w:id="13">
    <w:p w:rsidR="00BB6526" w:rsidRDefault="00BB6526">
      <w:pPr>
        <w:pStyle w:val="FootnoteText"/>
      </w:pPr>
      <w:r>
        <w:rPr>
          <w:rStyle w:val="FootnoteReference"/>
        </w:rPr>
        <w:footnoteRef/>
      </w:r>
      <w:r>
        <w:t xml:space="preserve"> EUIR - (European Upper Flight Information Region) Europsko gornje područje letnih informacija.</w:t>
      </w:r>
    </w:p>
  </w:footnote>
  <w:footnote w:id="14">
    <w:p w:rsidR="00BB6526" w:rsidRDefault="00BB6526">
      <w:pPr>
        <w:pStyle w:val="FootnoteText"/>
      </w:pPr>
      <w:r>
        <w:rPr>
          <w:rStyle w:val="FootnoteReference"/>
        </w:rPr>
        <w:footnoteRef/>
      </w:r>
      <w:r>
        <w:t xml:space="preserve"> FUA - (Flexible Use of Airspace) Koncept fleksibilne upotrebe zračnog prostora.</w:t>
      </w:r>
    </w:p>
  </w:footnote>
  <w:footnote w:id="15">
    <w:p w:rsidR="00BB6526" w:rsidRDefault="00BB6526">
      <w:pPr>
        <w:pStyle w:val="FootnoteText"/>
      </w:pPr>
      <w:r>
        <w:rPr>
          <w:rStyle w:val="FootnoteReference"/>
        </w:rPr>
        <w:footnoteRef/>
      </w:r>
      <w:r>
        <w:t xml:space="preserve"> ECAA - (European Common Aviation Area) Europski zajednički zračni prostor.</w:t>
      </w:r>
    </w:p>
  </w:footnote>
  <w:footnote w:id="16">
    <w:p w:rsidR="00BB6526" w:rsidRDefault="00BB6526">
      <w:pPr>
        <w:pStyle w:val="FootnoteText"/>
      </w:pPr>
      <w:r>
        <w:rPr>
          <w:rStyle w:val="FootnoteReference"/>
        </w:rPr>
        <w:footnoteRef/>
      </w:r>
      <w:r>
        <w:t xml:space="preserve"> SESAR - Single European Sky ATM Research.</w:t>
      </w:r>
    </w:p>
  </w:footnote>
  <w:footnote w:id="17">
    <w:p w:rsidR="00BB6526" w:rsidRDefault="00BB6526">
      <w:pPr>
        <w:pStyle w:val="FootnoteText"/>
      </w:pPr>
      <w:r>
        <w:rPr>
          <w:rStyle w:val="FootnoteReference"/>
        </w:rPr>
        <w:footnoteRef/>
      </w:r>
      <w:r>
        <w:t xml:space="preserve"> PRB - (Performance Review Body) Tijelo za praćenje performansi.</w:t>
      </w:r>
    </w:p>
  </w:footnote>
  <w:footnote w:id="18">
    <w:p w:rsidR="00BB6526" w:rsidRDefault="00BB6526">
      <w:pPr>
        <w:pStyle w:val="FootnoteText"/>
      </w:pPr>
      <w:r>
        <w:rPr>
          <w:rStyle w:val="FootnoteReference"/>
        </w:rPr>
        <w:footnoteRef/>
      </w:r>
      <w:r>
        <w:t xml:space="preserve"> EASA - (European Aviation Safety Agency) Europska agencija za sigurnost zračnog prometa.</w:t>
      </w:r>
    </w:p>
  </w:footnote>
  <w:footnote w:id="19">
    <w:p w:rsidR="00BB6526" w:rsidRDefault="00BB6526">
      <w:pPr>
        <w:pStyle w:val="FootnoteText"/>
      </w:pPr>
      <w:r>
        <w:rPr>
          <w:rStyle w:val="FootnoteReference"/>
        </w:rPr>
        <w:footnoteRef/>
      </w:r>
      <w:r>
        <w:t xml:space="preserve"> ANS - (Air Navigation Services) Usluge u zračnoj plovidbi. </w:t>
      </w:r>
    </w:p>
  </w:footnote>
  <w:footnote w:id="20">
    <w:p w:rsidR="00BB6526" w:rsidRDefault="00BB6526">
      <w:pPr>
        <w:pStyle w:val="FootnoteText"/>
      </w:pPr>
      <w:r>
        <w:rPr>
          <w:rStyle w:val="FootnoteReference"/>
        </w:rPr>
        <w:footnoteRef/>
      </w:r>
      <w:r>
        <w:t xml:space="preserve"> SESAR JU - SESAR Joint Undertaking - inicijativa EU Komisije, potvrđena regulativom „EC 219/2007“, s ciljem razvoja nove generacije europskog ATM-a (SESAR).  SESAR JU je pravna osoba, čija je glavna uloga upravljati razvojem, istraživanjem i ostalim aktivnostima SESAR projekta uz osiguranje financijskih sredstava, korištenje dostupnih tehničkih resursa i suradnja s Eurocontrolom te alokacija zadataka i odgovornosti, praćenje izvršavanja donešenih SESAR radnih planova, dopune planova te nadgledanje ispunjavanja zajedničkih ciljeva određenih u europskom ATM master planu. SESAR JU je upravljan od strane Administrativnog odbora, koji se sastoji od predstavnika svih relevantnih strana zrakoplovnog sektora (predstavnici članova JU-a, predstavnici vojske, predstavnici korisnika zračnog prostora, ANSP-a, aerodromskih operatera, znanstvenika, predstavnika avioindustrije i sl.) te od strane Izvršnog direktora kojeg imenuje odbor. SESAR JU se ukida 8 godina nakon što EU potvrdi ATM master plan (potvrđen 30.03.2009.).</w:t>
      </w:r>
    </w:p>
  </w:footnote>
  <w:footnote w:id="21">
    <w:p w:rsidR="00BB6526" w:rsidRDefault="00BB6526">
      <w:pPr>
        <w:pStyle w:val="FootnoteText"/>
      </w:pPr>
      <w:r>
        <w:rPr>
          <w:rStyle w:val="FootnoteReference"/>
        </w:rPr>
        <w:footnoteRef/>
      </w:r>
      <w:r>
        <w:t xml:space="preserve"> SWIM - System Wide Information Management.</w:t>
      </w:r>
    </w:p>
  </w:footnote>
  <w:footnote w:id="22">
    <w:p w:rsidR="00BB6526" w:rsidRDefault="00BB6526" w:rsidP="00893C47">
      <w:pPr>
        <w:pStyle w:val="FootnoteText"/>
      </w:pPr>
      <w:r>
        <w:rPr>
          <w:rStyle w:val="FootnoteReference"/>
        </w:rPr>
        <w:footnoteRef/>
      </w:r>
      <w:r>
        <w:t xml:space="preserve"> ACC - (Area Control Centre) Centar oblasne kontrole zračnog prometa. </w:t>
      </w:r>
    </w:p>
  </w:footnote>
  <w:footnote w:id="23">
    <w:p w:rsidR="00BB6526" w:rsidRDefault="00BB6526" w:rsidP="00893C47">
      <w:pPr>
        <w:pStyle w:val="FootnoteText"/>
      </w:pPr>
      <w:r>
        <w:rPr>
          <w:rStyle w:val="FootnoteReference"/>
        </w:rPr>
        <w:footnoteRef/>
      </w:r>
      <w:r>
        <w:t xml:space="preserve"> CEATS - (Central European Air Traffic Services) Srednjoeuropski centar za pružanje usluga u zr. plovidbi. </w:t>
      </w:r>
    </w:p>
  </w:footnote>
  <w:footnote w:id="24">
    <w:p w:rsidR="00BB6526" w:rsidRDefault="00BB6526" w:rsidP="00893C47">
      <w:pPr>
        <w:pStyle w:val="FootnoteText"/>
      </w:pPr>
      <w:r>
        <w:rPr>
          <w:rStyle w:val="FootnoteReference"/>
        </w:rPr>
        <w:footnoteRef/>
      </w:r>
      <w:r>
        <w:t xml:space="preserve"> SEE FABA - (Southeast Europe Functional Airspace Block Approach) Funkcionalni blok zračnog prostora jugoistočne Europe. </w:t>
      </w:r>
    </w:p>
  </w:footnote>
  <w:footnote w:id="25">
    <w:p w:rsidR="00BB6526" w:rsidRDefault="00BB6526" w:rsidP="00893C47">
      <w:pPr>
        <w:pStyle w:val="FootnoteText"/>
      </w:pPr>
      <w:r>
        <w:rPr>
          <w:rStyle w:val="FootnoteReference"/>
        </w:rPr>
        <w:footnoteRef/>
      </w:r>
      <w:r>
        <w:t xml:space="preserve"> ISIS - (Implementation of Single European Sky in Southeast Europe) Implementacija SES programa u jugoistočnoj Europi. </w:t>
      </w:r>
    </w:p>
  </w:footnote>
  <w:footnote w:id="26">
    <w:p w:rsidR="00BB6526" w:rsidRDefault="00BB6526" w:rsidP="00893C47">
      <w:pPr>
        <w:pStyle w:val="FootnoteText"/>
      </w:pPr>
      <w:r>
        <w:rPr>
          <w:rStyle w:val="FootnoteReference"/>
        </w:rPr>
        <w:footnoteRef/>
      </w:r>
      <w:r>
        <w:t xml:space="preserve"> Maastricht UAC - Maastricht Upper Area Control Centre.</w:t>
      </w:r>
    </w:p>
  </w:footnote>
  <w:footnote w:id="27">
    <w:p w:rsidR="00BB6526" w:rsidRDefault="00BB6526" w:rsidP="00893C47">
      <w:pPr>
        <w:pStyle w:val="FootnoteText"/>
      </w:pPr>
      <w:r>
        <w:rPr>
          <w:rStyle w:val="FootnoteReference"/>
        </w:rPr>
        <w:footnoteRef/>
      </w:r>
      <w:r>
        <w:t xml:space="preserve"> CBA - (Cost-Benefit Analysis) Analiza odnosa troškova i koristi. </w:t>
      </w:r>
    </w:p>
  </w:footnote>
  <w:footnote w:id="28">
    <w:p w:rsidR="00BB6526" w:rsidRDefault="00BB6526" w:rsidP="00893C47">
      <w:pPr>
        <w:pStyle w:val="FootnoteText"/>
      </w:pPr>
      <w:r>
        <w:rPr>
          <w:rStyle w:val="FootnoteReference"/>
        </w:rPr>
        <w:footnoteRef/>
      </w:r>
      <w:r>
        <w:t xml:space="preserve"> ICAO AFI - (ICAO Africa-Indian Ocean Region) ICAO regija Afrike i Indijskog oceana.</w:t>
      </w:r>
    </w:p>
  </w:footnote>
  <w:footnote w:id="29">
    <w:p w:rsidR="00BB6526" w:rsidRDefault="00BB6526" w:rsidP="00893C47">
      <w:pPr>
        <w:pStyle w:val="FootnoteText"/>
      </w:pPr>
      <w:r>
        <w:rPr>
          <w:rStyle w:val="FootnoteReference"/>
        </w:rPr>
        <w:footnoteRef/>
      </w:r>
      <w:r>
        <w:t xml:space="preserve"> ATCO - (Air Traffic Control Officer) Kontrolor leta.</w:t>
      </w:r>
    </w:p>
  </w:footnote>
  <w:footnote w:id="30">
    <w:p w:rsidR="00BB6526" w:rsidRDefault="00BB6526" w:rsidP="00893C47">
      <w:pPr>
        <w:pStyle w:val="FootnoteText"/>
      </w:pPr>
      <w:r>
        <w:rPr>
          <w:rStyle w:val="FootnoteReference"/>
        </w:rPr>
        <w:footnoteRef/>
      </w:r>
      <w:r>
        <w:t xml:space="preserve"> COOPANS - (Cooperation between ANS providers) Kooperacija između ANS pružatelja.</w:t>
      </w:r>
    </w:p>
  </w:footnote>
  <w:footnote w:id="31">
    <w:p w:rsidR="00BB6526" w:rsidRDefault="00BB6526" w:rsidP="00893C47">
      <w:pPr>
        <w:pStyle w:val="FootnoteText"/>
      </w:pPr>
      <w:r>
        <w:rPr>
          <w:rStyle w:val="FootnoteReference"/>
        </w:rPr>
        <w:footnoteRef/>
      </w:r>
      <w:r>
        <w:t xml:space="preserve"> ESARR - (Eurocontrol Safety Regulatory Requirements) Eurocontrolovi sigurnosni </w:t>
      </w:r>
      <w:r w:rsidR="004346EF">
        <w:t>regulativni</w:t>
      </w:r>
      <w:r>
        <w:t xml:space="preserve"> zahtjevi.</w:t>
      </w:r>
    </w:p>
  </w:footnote>
  <w:footnote w:id="32">
    <w:p w:rsidR="00BB6526" w:rsidRDefault="00BB6526">
      <w:pPr>
        <w:pStyle w:val="FootnoteText"/>
      </w:pPr>
      <w:r>
        <w:rPr>
          <w:rStyle w:val="FootnoteReference"/>
        </w:rPr>
        <w:footnoteRef/>
      </w:r>
      <w:r>
        <w:t xml:space="preserve"> SARP - (Standards And Recommended Practices) Standardi i preporučene prakse.</w:t>
      </w:r>
    </w:p>
  </w:footnote>
  <w:footnote w:id="33">
    <w:p w:rsidR="00BB6526" w:rsidRDefault="00BB6526">
      <w:pPr>
        <w:pStyle w:val="FootnoteText"/>
      </w:pPr>
      <w:r>
        <w:rPr>
          <w:rStyle w:val="FootnoteReference"/>
        </w:rPr>
        <w:footnoteRef/>
      </w:r>
      <w:r>
        <w:t xml:space="preserve"> SMS - (Safety Management System) Sustav upravljanja sigurnošću.</w:t>
      </w:r>
    </w:p>
  </w:footnote>
  <w:footnote w:id="34">
    <w:p w:rsidR="00BB6526" w:rsidRDefault="00BB6526">
      <w:pPr>
        <w:pStyle w:val="FootnoteText"/>
      </w:pPr>
      <w:r>
        <w:rPr>
          <w:rStyle w:val="FootnoteReference"/>
        </w:rPr>
        <w:footnoteRef/>
      </w:r>
      <w:r>
        <w:t xml:space="preserve"> HKZP - Hrvatska Kontrola Zračne Plovidbe.</w:t>
      </w:r>
    </w:p>
  </w:footnote>
  <w:footnote w:id="35">
    <w:p w:rsidR="00BB6526" w:rsidRDefault="00BB6526" w:rsidP="00576524">
      <w:pPr>
        <w:pStyle w:val="FootnoteText"/>
      </w:pPr>
      <w:r>
        <w:rPr>
          <w:rStyle w:val="FootnoteReference"/>
        </w:rPr>
        <w:footnoteRef/>
      </w:r>
      <w:r>
        <w:t xml:space="preserve"> JCMACB - (Joint Civil-Military Airspace Co-ordination Body) Zajedničko civilno-vojno tijelo za koordinaciju zračnog prostora.</w:t>
      </w:r>
    </w:p>
  </w:footnote>
  <w:footnote w:id="36">
    <w:p w:rsidR="00BB6526" w:rsidRDefault="00BB6526" w:rsidP="00576524">
      <w:pPr>
        <w:pStyle w:val="FootnoteText"/>
      </w:pPr>
      <w:r>
        <w:rPr>
          <w:rStyle w:val="FootnoteReference"/>
        </w:rPr>
        <w:footnoteRef/>
      </w:r>
      <w:r>
        <w:t xml:space="preserve"> ISB - (Implementation Steering Body) Tijelo koje upravlja implementacijom. </w:t>
      </w:r>
    </w:p>
  </w:footnote>
  <w:footnote w:id="37">
    <w:p w:rsidR="00BB6526" w:rsidRDefault="00BB6526" w:rsidP="00C70ED3">
      <w:pPr>
        <w:pStyle w:val="FootnoteText"/>
      </w:pPr>
      <w:r>
        <w:rPr>
          <w:rStyle w:val="FootnoteReference"/>
        </w:rPr>
        <w:footnoteRef/>
      </w:r>
      <w:r>
        <w:t xml:space="preserve"> ATFCM - (Air Traffic Flow and Capacity Management) Upravljanje protokom i kapacitetom zr. prometa.</w:t>
      </w:r>
    </w:p>
  </w:footnote>
  <w:footnote w:id="38">
    <w:p w:rsidR="00BB6526" w:rsidRDefault="00BB6526" w:rsidP="00C70ED3">
      <w:pPr>
        <w:pStyle w:val="FootnoteText"/>
      </w:pPr>
      <w:r>
        <w:rPr>
          <w:rStyle w:val="FootnoteReference"/>
        </w:rPr>
        <w:footnoteRef/>
      </w:r>
      <w:r>
        <w:t xml:space="preserve"> NOP - (Network Operational Plan) Mrežni operativni plan</w:t>
      </w:r>
    </w:p>
  </w:footnote>
  <w:footnote w:id="39">
    <w:p w:rsidR="00BB6526" w:rsidRDefault="00BB6526" w:rsidP="00576524">
      <w:pPr>
        <w:pStyle w:val="FootnoteText"/>
      </w:pPr>
      <w:r>
        <w:rPr>
          <w:rStyle w:val="FootnoteReference"/>
        </w:rPr>
        <w:footnoteRef/>
      </w:r>
      <w:r>
        <w:t xml:space="preserve"> FAB CE SG - (FAB „CE“ Steering Group) - Grupa za upravljanje implementacijom FAB-a CE.</w:t>
      </w:r>
    </w:p>
  </w:footnote>
  <w:footnote w:id="40">
    <w:p w:rsidR="00BB6526" w:rsidRDefault="00BB6526" w:rsidP="00576524">
      <w:pPr>
        <w:pStyle w:val="FootnoteText"/>
      </w:pPr>
      <w:r>
        <w:rPr>
          <w:rStyle w:val="FootnoteReference"/>
        </w:rPr>
        <w:footnoteRef/>
      </w:r>
      <w:r>
        <w:t xml:space="preserve"> CCG - (CEATS Coordination Group) Koordiacijska grupa projekta CEATS.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86EE8"/>
    <w:multiLevelType w:val="hybridMultilevel"/>
    <w:tmpl w:val="4E2A0DC6"/>
    <w:lvl w:ilvl="0" w:tplc="041A0001">
      <w:start w:val="1"/>
      <w:numFmt w:val="bullet"/>
      <w:lvlText w:val=""/>
      <w:lvlJc w:val="left"/>
      <w:pPr>
        <w:ind w:left="1080" w:hanging="360"/>
      </w:pPr>
      <w:rPr>
        <w:rFonts w:ascii="Symbol" w:hAnsi="Symbol" w:cs="Symbol" w:hint="default"/>
      </w:rPr>
    </w:lvl>
    <w:lvl w:ilvl="1" w:tplc="041A0019">
      <w:start w:val="1"/>
      <w:numFmt w:val="lowerLetter"/>
      <w:lvlText w:val="%2."/>
      <w:lvlJc w:val="left"/>
      <w:pPr>
        <w:ind w:left="1800" w:hanging="360"/>
      </w:pPr>
    </w:lvl>
    <w:lvl w:ilvl="2" w:tplc="041A001B">
      <w:start w:val="1"/>
      <w:numFmt w:val="lowerRoman"/>
      <w:lvlText w:val="%3."/>
      <w:lvlJc w:val="right"/>
      <w:pPr>
        <w:ind w:left="2520" w:hanging="180"/>
      </w:pPr>
    </w:lvl>
    <w:lvl w:ilvl="3" w:tplc="041A000F">
      <w:start w:val="1"/>
      <w:numFmt w:val="decimal"/>
      <w:lvlText w:val="%4."/>
      <w:lvlJc w:val="left"/>
      <w:pPr>
        <w:ind w:left="3240" w:hanging="360"/>
      </w:pPr>
    </w:lvl>
    <w:lvl w:ilvl="4" w:tplc="041A0019">
      <w:start w:val="1"/>
      <w:numFmt w:val="lowerLetter"/>
      <w:lvlText w:val="%5."/>
      <w:lvlJc w:val="left"/>
      <w:pPr>
        <w:ind w:left="3960" w:hanging="360"/>
      </w:pPr>
    </w:lvl>
    <w:lvl w:ilvl="5" w:tplc="041A001B">
      <w:start w:val="1"/>
      <w:numFmt w:val="lowerRoman"/>
      <w:lvlText w:val="%6."/>
      <w:lvlJc w:val="right"/>
      <w:pPr>
        <w:ind w:left="4680" w:hanging="180"/>
      </w:pPr>
    </w:lvl>
    <w:lvl w:ilvl="6" w:tplc="041A000F">
      <w:start w:val="1"/>
      <w:numFmt w:val="decimal"/>
      <w:lvlText w:val="%7."/>
      <w:lvlJc w:val="left"/>
      <w:pPr>
        <w:ind w:left="5400" w:hanging="360"/>
      </w:pPr>
    </w:lvl>
    <w:lvl w:ilvl="7" w:tplc="041A0019">
      <w:start w:val="1"/>
      <w:numFmt w:val="lowerLetter"/>
      <w:lvlText w:val="%8."/>
      <w:lvlJc w:val="left"/>
      <w:pPr>
        <w:ind w:left="6120" w:hanging="360"/>
      </w:pPr>
    </w:lvl>
    <w:lvl w:ilvl="8" w:tplc="041A001B">
      <w:start w:val="1"/>
      <w:numFmt w:val="lowerRoman"/>
      <w:lvlText w:val="%9."/>
      <w:lvlJc w:val="right"/>
      <w:pPr>
        <w:ind w:left="6840" w:hanging="180"/>
      </w:pPr>
    </w:lvl>
  </w:abstractNum>
  <w:abstractNum w:abstractNumId="1">
    <w:nsid w:val="06150178"/>
    <w:multiLevelType w:val="hybridMultilevel"/>
    <w:tmpl w:val="039492F0"/>
    <w:lvl w:ilvl="0" w:tplc="041A0001">
      <w:start w:val="1"/>
      <w:numFmt w:val="bullet"/>
      <w:lvlText w:val=""/>
      <w:lvlJc w:val="left"/>
      <w:pPr>
        <w:ind w:left="1068" w:hanging="360"/>
      </w:pPr>
      <w:rPr>
        <w:rFonts w:ascii="Symbol" w:hAnsi="Symbol" w:cs="Symbol" w:hint="default"/>
      </w:rPr>
    </w:lvl>
    <w:lvl w:ilvl="1" w:tplc="041A0019">
      <w:start w:val="1"/>
      <w:numFmt w:val="lowerLetter"/>
      <w:lvlText w:val="%2."/>
      <w:lvlJc w:val="left"/>
      <w:pPr>
        <w:ind w:left="1788" w:hanging="360"/>
      </w:pPr>
    </w:lvl>
    <w:lvl w:ilvl="2" w:tplc="041A001B">
      <w:start w:val="1"/>
      <w:numFmt w:val="lowerRoman"/>
      <w:lvlText w:val="%3."/>
      <w:lvlJc w:val="right"/>
      <w:pPr>
        <w:ind w:left="2508" w:hanging="180"/>
      </w:pPr>
    </w:lvl>
    <w:lvl w:ilvl="3" w:tplc="041A000F">
      <w:start w:val="1"/>
      <w:numFmt w:val="decimal"/>
      <w:lvlText w:val="%4."/>
      <w:lvlJc w:val="left"/>
      <w:pPr>
        <w:ind w:left="3228" w:hanging="360"/>
      </w:pPr>
    </w:lvl>
    <w:lvl w:ilvl="4" w:tplc="041A0019">
      <w:start w:val="1"/>
      <w:numFmt w:val="lowerLetter"/>
      <w:lvlText w:val="%5."/>
      <w:lvlJc w:val="left"/>
      <w:pPr>
        <w:ind w:left="3948" w:hanging="360"/>
      </w:pPr>
    </w:lvl>
    <w:lvl w:ilvl="5" w:tplc="041A001B">
      <w:start w:val="1"/>
      <w:numFmt w:val="lowerRoman"/>
      <w:lvlText w:val="%6."/>
      <w:lvlJc w:val="right"/>
      <w:pPr>
        <w:ind w:left="4668" w:hanging="180"/>
      </w:pPr>
    </w:lvl>
    <w:lvl w:ilvl="6" w:tplc="041A000F">
      <w:start w:val="1"/>
      <w:numFmt w:val="decimal"/>
      <w:lvlText w:val="%7."/>
      <w:lvlJc w:val="left"/>
      <w:pPr>
        <w:ind w:left="5388" w:hanging="360"/>
      </w:pPr>
    </w:lvl>
    <w:lvl w:ilvl="7" w:tplc="041A0019">
      <w:start w:val="1"/>
      <w:numFmt w:val="lowerLetter"/>
      <w:lvlText w:val="%8."/>
      <w:lvlJc w:val="left"/>
      <w:pPr>
        <w:ind w:left="6108" w:hanging="360"/>
      </w:pPr>
    </w:lvl>
    <w:lvl w:ilvl="8" w:tplc="041A001B">
      <w:start w:val="1"/>
      <w:numFmt w:val="lowerRoman"/>
      <w:lvlText w:val="%9."/>
      <w:lvlJc w:val="right"/>
      <w:pPr>
        <w:ind w:left="6828" w:hanging="180"/>
      </w:pPr>
    </w:lvl>
  </w:abstractNum>
  <w:abstractNum w:abstractNumId="2">
    <w:nsid w:val="06BB6F4C"/>
    <w:multiLevelType w:val="hybridMultilevel"/>
    <w:tmpl w:val="AB6E253E"/>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
    <w:nsid w:val="06D66385"/>
    <w:multiLevelType w:val="hybridMultilevel"/>
    <w:tmpl w:val="F6560D66"/>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4">
    <w:nsid w:val="099E284A"/>
    <w:multiLevelType w:val="hybridMultilevel"/>
    <w:tmpl w:val="B096FC4E"/>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5">
    <w:nsid w:val="0E22538C"/>
    <w:multiLevelType w:val="multilevel"/>
    <w:tmpl w:val="EE8278B8"/>
    <w:lvl w:ilvl="0">
      <w:start w:val="1"/>
      <w:numFmt w:val="bullet"/>
      <w:lvlText w:val=""/>
      <w:lvlJc w:val="left"/>
      <w:pPr>
        <w:ind w:left="720" w:hanging="360"/>
      </w:pPr>
      <w:rPr>
        <w:rFonts w:ascii="Symbol" w:hAnsi="Symbol" w:cs="Symbol"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nsid w:val="0F7663C8"/>
    <w:multiLevelType w:val="hybridMultilevel"/>
    <w:tmpl w:val="5294560C"/>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7">
    <w:nsid w:val="10E97BC3"/>
    <w:multiLevelType w:val="multilevel"/>
    <w:tmpl w:val="EE8278B8"/>
    <w:lvl w:ilvl="0">
      <w:start w:val="1"/>
      <w:numFmt w:val="bullet"/>
      <w:lvlText w:val=""/>
      <w:lvlJc w:val="left"/>
      <w:pPr>
        <w:ind w:left="720" w:hanging="360"/>
      </w:pPr>
      <w:rPr>
        <w:rFonts w:ascii="Symbol" w:hAnsi="Symbol" w:cs="Symbol"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nsid w:val="13931345"/>
    <w:multiLevelType w:val="hybridMultilevel"/>
    <w:tmpl w:val="4F1EC066"/>
    <w:lvl w:ilvl="0" w:tplc="041A0001">
      <w:start w:val="1"/>
      <w:numFmt w:val="bullet"/>
      <w:lvlText w:val=""/>
      <w:lvlJc w:val="left"/>
      <w:pPr>
        <w:ind w:left="720" w:hanging="360"/>
      </w:pPr>
      <w:rPr>
        <w:rFonts w:ascii="Symbol" w:hAnsi="Symbol" w:cs="Symbol" w:hint="default"/>
      </w:rPr>
    </w:lvl>
    <w:lvl w:ilvl="1" w:tplc="041A0001">
      <w:start w:val="1"/>
      <w:numFmt w:val="bullet"/>
      <w:lvlText w:val=""/>
      <w:lvlJc w:val="left"/>
      <w:pPr>
        <w:ind w:left="1440" w:hanging="360"/>
      </w:pPr>
      <w:rPr>
        <w:rFonts w:ascii="Symbol" w:hAnsi="Symbol" w:cs="Symbol" w:hint="default"/>
      </w:r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9">
    <w:nsid w:val="153537D3"/>
    <w:multiLevelType w:val="hybridMultilevel"/>
    <w:tmpl w:val="705865AE"/>
    <w:lvl w:ilvl="0" w:tplc="041A0001">
      <w:start w:val="1"/>
      <w:numFmt w:val="bullet"/>
      <w:lvlText w:val=""/>
      <w:lvlJc w:val="left"/>
      <w:pPr>
        <w:ind w:left="1068" w:hanging="360"/>
      </w:pPr>
      <w:rPr>
        <w:rFonts w:ascii="Symbol" w:hAnsi="Symbol" w:cs="Symbol" w:hint="default"/>
      </w:rPr>
    </w:lvl>
    <w:lvl w:ilvl="1" w:tplc="041A0019">
      <w:start w:val="1"/>
      <w:numFmt w:val="lowerLetter"/>
      <w:lvlText w:val="%2."/>
      <w:lvlJc w:val="left"/>
      <w:pPr>
        <w:ind w:left="1788" w:hanging="360"/>
      </w:pPr>
    </w:lvl>
    <w:lvl w:ilvl="2" w:tplc="041A001B">
      <w:start w:val="1"/>
      <w:numFmt w:val="lowerRoman"/>
      <w:lvlText w:val="%3."/>
      <w:lvlJc w:val="right"/>
      <w:pPr>
        <w:ind w:left="2508" w:hanging="180"/>
      </w:pPr>
    </w:lvl>
    <w:lvl w:ilvl="3" w:tplc="041A000F">
      <w:start w:val="1"/>
      <w:numFmt w:val="decimal"/>
      <w:lvlText w:val="%4."/>
      <w:lvlJc w:val="left"/>
      <w:pPr>
        <w:ind w:left="3228" w:hanging="360"/>
      </w:pPr>
    </w:lvl>
    <w:lvl w:ilvl="4" w:tplc="041A0019">
      <w:start w:val="1"/>
      <w:numFmt w:val="lowerLetter"/>
      <w:lvlText w:val="%5."/>
      <w:lvlJc w:val="left"/>
      <w:pPr>
        <w:ind w:left="3948" w:hanging="360"/>
      </w:pPr>
    </w:lvl>
    <w:lvl w:ilvl="5" w:tplc="041A001B">
      <w:start w:val="1"/>
      <w:numFmt w:val="lowerRoman"/>
      <w:lvlText w:val="%6."/>
      <w:lvlJc w:val="right"/>
      <w:pPr>
        <w:ind w:left="4668" w:hanging="180"/>
      </w:pPr>
    </w:lvl>
    <w:lvl w:ilvl="6" w:tplc="041A000F">
      <w:start w:val="1"/>
      <w:numFmt w:val="decimal"/>
      <w:lvlText w:val="%7."/>
      <w:lvlJc w:val="left"/>
      <w:pPr>
        <w:ind w:left="5388" w:hanging="360"/>
      </w:pPr>
    </w:lvl>
    <w:lvl w:ilvl="7" w:tplc="041A0019">
      <w:start w:val="1"/>
      <w:numFmt w:val="lowerLetter"/>
      <w:lvlText w:val="%8."/>
      <w:lvlJc w:val="left"/>
      <w:pPr>
        <w:ind w:left="6108" w:hanging="360"/>
      </w:pPr>
    </w:lvl>
    <w:lvl w:ilvl="8" w:tplc="041A001B">
      <w:start w:val="1"/>
      <w:numFmt w:val="lowerRoman"/>
      <w:lvlText w:val="%9."/>
      <w:lvlJc w:val="right"/>
      <w:pPr>
        <w:ind w:left="6828" w:hanging="180"/>
      </w:pPr>
    </w:lvl>
  </w:abstractNum>
  <w:abstractNum w:abstractNumId="10">
    <w:nsid w:val="18842D8E"/>
    <w:multiLevelType w:val="hybridMultilevel"/>
    <w:tmpl w:val="2F7AD9C6"/>
    <w:lvl w:ilvl="0" w:tplc="041A0001">
      <w:start w:val="1"/>
      <w:numFmt w:val="bullet"/>
      <w:lvlText w:val=""/>
      <w:lvlJc w:val="left"/>
      <w:pPr>
        <w:ind w:left="720" w:hanging="360"/>
      </w:pPr>
      <w:rPr>
        <w:rFonts w:ascii="Symbol" w:hAnsi="Symbol" w:cs="Symbol" w:hint="default"/>
      </w:rPr>
    </w:lvl>
    <w:lvl w:ilvl="1" w:tplc="041A0001">
      <w:start w:val="1"/>
      <w:numFmt w:val="bullet"/>
      <w:lvlText w:val=""/>
      <w:lvlJc w:val="left"/>
      <w:pPr>
        <w:ind w:left="1440" w:hanging="360"/>
      </w:pPr>
      <w:rPr>
        <w:rFonts w:ascii="Symbol" w:hAnsi="Symbol" w:cs="Symbol" w:hint="default"/>
      </w:r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1">
    <w:nsid w:val="1C080B98"/>
    <w:multiLevelType w:val="hybridMultilevel"/>
    <w:tmpl w:val="1EF0392E"/>
    <w:lvl w:ilvl="0" w:tplc="041A0001">
      <w:start w:val="1"/>
      <w:numFmt w:val="bullet"/>
      <w:lvlText w:val=""/>
      <w:lvlJc w:val="left"/>
      <w:pPr>
        <w:ind w:left="990" w:hanging="63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2">
    <w:nsid w:val="223D438E"/>
    <w:multiLevelType w:val="multilevel"/>
    <w:tmpl w:val="EE8278B8"/>
    <w:lvl w:ilvl="0">
      <w:start w:val="1"/>
      <w:numFmt w:val="bullet"/>
      <w:lvlText w:val=""/>
      <w:lvlJc w:val="left"/>
      <w:pPr>
        <w:ind w:left="720" w:hanging="360"/>
      </w:pPr>
      <w:rPr>
        <w:rFonts w:ascii="Symbol" w:hAnsi="Symbol" w:cs="Symbol"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
    <w:nsid w:val="279D6B25"/>
    <w:multiLevelType w:val="hybridMultilevel"/>
    <w:tmpl w:val="460806FA"/>
    <w:lvl w:ilvl="0" w:tplc="041A0001">
      <w:start w:val="1"/>
      <w:numFmt w:val="bullet"/>
      <w:lvlText w:val=""/>
      <w:lvlJc w:val="left"/>
      <w:pPr>
        <w:ind w:left="1080" w:hanging="360"/>
      </w:pPr>
      <w:rPr>
        <w:rFonts w:ascii="Symbol" w:hAnsi="Symbol" w:cs="Symbol" w:hint="default"/>
      </w:rPr>
    </w:lvl>
    <w:lvl w:ilvl="1" w:tplc="041A0019">
      <w:start w:val="1"/>
      <w:numFmt w:val="lowerLetter"/>
      <w:lvlText w:val="%2."/>
      <w:lvlJc w:val="left"/>
      <w:pPr>
        <w:ind w:left="1800" w:hanging="360"/>
      </w:pPr>
    </w:lvl>
    <w:lvl w:ilvl="2" w:tplc="041A001B">
      <w:start w:val="1"/>
      <w:numFmt w:val="lowerRoman"/>
      <w:lvlText w:val="%3."/>
      <w:lvlJc w:val="right"/>
      <w:pPr>
        <w:ind w:left="2520" w:hanging="180"/>
      </w:pPr>
    </w:lvl>
    <w:lvl w:ilvl="3" w:tplc="041A000F">
      <w:start w:val="1"/>
      <w:numFmt w:val="decimal"/>
      <w:lvlText w:val="%4."/>
      <w:lvlJc w:val="left"/>
      <w:pPr>
        <w:ind w:left="3240" w:hanging="360"/>
      </w:pPr>
    </w:lvl>
    <w:lvl w:ilvl="4" w:tplc="041A0019">
      <w:start w:val="1"/>
      <w:numFmt w:val="lowerLetter"/>
      <w:lvlText w:val="%5."/>
      <w:lvlJc w:val="left"/>
      <w:pPr>
        <w:ind w:left="3960" w:hanging="360"/>
      </w:pPr>
    </w:lvl>
    <w:lvl w:ilvl="5" w:tplc="041A001B">
      <w:start w:val="1"/>
      <w:numFmt w:val="lowerRoman"/>
      <w:lvlText w:val="%6."/>
      <w:lvlJc w:val="right"/>
      <w:pPr>
        <w:ind w:left="4680" w:hanging="180"/>
      </w:pPr>
    </w:lvl>
    <w:lvl w:ilvl="6" w:tplc="041A000F">
      <w:start w:val="1"/>
      <w:numFmt w:val="decimal"/>
      <w:lvlText w:val="%7."/>
      <w:lvlJc w:val="left"/>
      <w:pPr>
        <w:ind w:left="5400" w:hanging="360"/>
      </w:pPr>
    </w:lvl>
    <w:lvl w:ilvl="7" w:tplc="041A0019">
      <w:start w:val="1"/>
      <w:numFmt w:val="lowerLetter"/>
      <w:lvlText w:val="%8."/>
      <w:lvlJc w:val="left"/>
      <w:pPr>
        <w:ind w:left="6120" w:hanging="360"/>
      </w:pPr>
    </w:lvl>
    <w:lvl w:ilvl="8" w:tplc="041A001B">
      <w:start w:val="1"/>
      <w:numFmt w:val="lowerRoman"/>
      <w:lvlText w:val="%9."/>
      <w:lvlJc w:val="right"/>
      <w:pPr>
        <w:ind w:left="6840" w:hanging="180"/>
      </w:pPr>
    </w:lvl>
  </w:abstractNum>
  <w:abstractNum w:abstractNumId="14">
    <w:nsid w:val="286F5F5A"/>
    <w:multiLevelType w:val="hybridMultilevel"/>
    <w:tmpl w:val="AF1075B8"/>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5">
    <w:nsid w:val="348A5068"/>
    <w:multiLevelType w:val="multilevel"/>
    <w:tmpl w:val="0A40B83A"/>
    <w:lvl w:ilvl="0">
      <w:start w:val="1"/>
      <w:numFmt w:val="bullet"/>
      <w:lvlText w:val=""/>
      <w:lvlJc w:val="left"/>
      <w:pPr>
        <w:ind w:left="720" w:hanging="360"/>
      </w:pPr>
      <w:rPr>
        <w:rFonts w:ascii="Symbol" w:hAnsi="Symbol" w:cs="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6">
    <w:nsid w:val="37F27E6C"/>
    <w:multiLevelType w:val="hybridMultilevel"/>
    <w:tmpl w:val="FFD89966"/>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7">
    <w:nsid w:val="387F10DD"/>
    <w:multiLevelType w:val="hybridMultilevel"/>
    <w:tmpl w:val="252A34C2"/>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8">
    <w:nsid w:val="3C8F7C9B"/>
    <w:multiLevelType w:val="hybridMultilevel"/>
    <w:tmpl w:val="A538F74E"/>
    <w:lvl w:ilvl="0" w:tplc="041A0001">
      <w:start w:val="1"/>
      <w:numFmt w:val="bullet"/>
      <w:lvlText w:val=""/>
      <w:lvlJc w:val="left"/>
      <w:pPr>
        <w:ind w:left="1068" w:hanging="360"/>
      </w:pPr>
      <w:rPr>
        <w:rFonts w:ascii="Symbol" w:hAnsi="Symbol" w:cs="Symbol" w:hint="default"/>
      </w:rPr>
    </w:lvl>
    <w:lvl w:ilvl="1" w:tplc="041A0019">
      <w:start w:val="1"/>
      <w:numFmt w:val="lowerLetter"/>
      <w:lvlText w:val="%2."/>
      <w:lvlJc w:val="left"/>
      <w:pPr>
        <w:ind w:left="1788" w:hanging="360"/>
      </w:pPr>
    </w:lvl>
    <w:lvl w:ilvl="2" w:tplc="041A001B">
      <w:start w:val="1"/>
      <w:numFmt w:val="lowerRoman"/>
      <w:lvlText w:val="%3."/>
      <w:lvlJc w:val="right"/>
      <w:pPr>
        <w:ind w:left="2508" w:hanging="180"/>
      </w:pPr>
    </w:lvl>
    <w:lvl w:ilvl="3" w:tplc="041A000F">
      <w:start w:val="1"/>
      <w:numFmt w:val="decimal"/>
      <w:lvlText w:val="%4."/>
      <w:lvlJc w:val="left"/>
      <w:pPr>
        <w:ind w:left="3228" w:hanging="360"/>
      </w:pPr>
    </w:lvl>
    <w:lvl w:ilvl="4" w:tplc="041A0019">
      <w:start w:val="1"/>
      <w:numFmt w:val="lowerLetter"/>
      <w:lvlText w:val="%5."/>
      <w:lvlJc w:val="left"/>
      <w:pPr>
        <w:ind w:left="3948" w:hanging="360"/>
      </w:pPr>
    </w:lvl>
    <w:lvl w:ilvl="5" w:tplc="041A001B">
      <w:start w:val="1"/>
      <w:numFmt w:val="lowerRoman"/>
      <w:lvlText w:val="%6."/>
      <w:lvlJc w:val="right"/>
      <w:pPr>
        <w:ind w:left="4668" w:hanging="180"/>
      </w:pPr>
    </w:lvl>
    <w:lvl w:ilvl="6" w:tplc="041A000F">
      <w:start w:val="1"/>
      <w:numFmt w:val="decimal"/>
      <w:lvlText w:val="%7."/>
      <w:lvlJc w:val="left"/>
      <w:pPr>
        <w:ind w:left="5388" w:hanging="360"/>
      </w:pPr>
    </w:lvl>
    <w:lvl w:ilvl="7" w:tplc="041A0019">
      <w:start w:val="1"/>
      <w:numFmt w:val="lowerLetter"/>
      <w:lvlText w:val="%8."/>
      <w:lvlJc w:val="left"/>
      <w:pPr>
        <w:ind w:left="6108" w:hanging="360"/>
      </w:pPr>
    </w:lvl>
    <w:lvl w:ilvl="8" w:tplc="041A001B">
      <w:start w:val="1"/>
      <w:numFmt w:val="lowerRoman"/>
      <w:lvlText w:val="%9."/>
      <w:lvlJc w:val="right"/>
      <w:pPr>
        <w:ind w:left="6828" w:hanging="180"/>
      </w:pPr>
    </w:lvl>
  </w:abstractNum>
  <w:abstractNum w:abstractNumId="19">
    <w:nsid w:val="47C34483"/>
    <w:multiLevelType w:val="hybridMultilevel"/>
    <w:tmpl w:val="944A4564"/>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0">
    <w:nsid w:val="4E5F6539"/>
    <w:multiLevelType w:val="hybridMultilevel"/>
    <w:tmpl w:val="348EA012"/>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1">
    <w:nsid w:val="4ED868C4"/>
    <w:multiLevelType w:val="hybridMultilevel"/>
    <w:tmpl w:val="D10A19AA"/>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2">
    <w:nsid w:val="5330200F"/>
    <w:multiLevelType w:val="multilevel"/>
    <w:tmpl w:val="EE8278B8"/>
    <w:lvl w:ilvl="0">
      <w:start w:val="1"/>
      <w:numFmt w:val="bullet"/>
      <w:lvlText w:val=""/>
      <w:lvlJc w:val="left"/>
      <w:pPr>
        <w:ind w:left="720" w:hanging="360"/>
      </w:pPr>
      <w:rPr>
        <w:rFonts w:ascii="Symbol" w:hAnsi="Symbol" w:cs="Symbol"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3">
    <w:nsid w:val="5639233F"/>
    <w:multiLevelType w:val="hybridMultilevel"/>
    <w:tmpl w:val="D486B438"/>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4">
    <w:nsid w:val="58E17951"/>
    <w:multiLevelType w:val="hybridMultilevel"/>
    <w:tmpl w:val="86E0A4F6"/>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5">
    <w:nsid w:val="615E2738"/>
    <w:multiLevelType w:val="hybridMultilevel"/>
    <w:tmpl w:val="93EA0F00"/>
    <w:lvl w:ilvl="0" w:tplc="12F46F84">
      <w:start w:val="1"/>
      <w:numFmt w:val="decimal"/>
      <w:lvlText w:val="%1."/>
      <w:lvlJc w:val="left"/>
      <w:pPr>
        <w:ind w:left="644" w:hanging="360"/>
      </w:pPr>
      <w:rPr>
        <w:rFonts w:hint="default"/>
        <w:i w:val="0"/>
        <w:iCs w:val="0"/>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6">
    <w:nsid w:val="68B95A1D"/>
    <w:multiLevelType w:val="multilevel"/>
    <w:tmpl w:val="8C564F2A"/>
    <w:lvl w:ilvl="0">
      <w:start w:val="1"/>
      <w:numFmt w:val="decimal"/>
      <w:pStyle w:val="Heading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7">
    <w:nsid w:val="6C0A1854"/>
    <w:multiLevelType w:val="hybridMultilevel"/>
    <w:tmpl w:val="48182760"/>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8">
    <w:nsid w:val="6D7862C1"/>
    <w:multiLevelType w:val="hybridMultilevel"/>
    <w:tmpl w:val="46FA3230"/>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9">
    <w:nsid w:val="6E950F93"/>
    <w:multiLevelType w:val="hybridMultilevel"/>
    <w:tmpl w:val="18387330"/>
    <w:lvl w:ilvl="0" w:tplc="041A0001">
      <w:start w:val="1"/>
      <w:numFmt w:val="bullet"/>
      <w:lvlText w:val=""/>
      <w:lvlJc w:val="left"/>
      <w:pPr>
        <w:ind w:left="720" w:hanging="360"/>
      </w:pPr>
      <w:rPr>
        <w:rFonts w:ascii="Symbol" w:hAnsi="Symbol" w:cs="Symbol"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0">
    <w:nsid w:val="6ECF4612"/>
    <w:multiLevelType w:val="multilevel"/>
    <w:tmpl w:val="EE8278B8"/>
    <w:lvl w:ilvl="0">
      <w:start w:val="1"/>
      <w:numFmt w:val="bullet"/>
      <w:lvlText w:val=""/>
      <w:lvlJc w:val="left"/>
      <w:pPr>
        <w:ind w:left="720" w:hanging="360"/>
      </w:pPr>
      <w:rPr>
        <w:rFonts w:ascii="Symbol" w:hAnsi="Symbol" w:cs="Symbol"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1">
    <w:nsid w:val="6F8E58C8"/>
    <w:multiLevelType w:val="hybridMultilevel"/>
    <w:tmpl w:val="BB5A20B0"/>
    <w:lvl w:ilvl="0" w:tplc="041A0001">
      <w:start w:val="1"/>
      <w:numFmt w:val="bullet"/>
      <w:lvlText w:val=""/>
      <w:lvlJc w:val="left"/>
      <w:pPr>
        <w:ind w:left="1080" w:hanging="360"/>
      </w:pPr>
      <w:rPr>
        <w:rFonts w:ascii="Symbol" w:hAnsi="Symbol" w:cs="Symbol" w:hint="default"/>
      </w:rPr>
    </w:lvl>
    <w:lvl w:ilvl="1" w:tplc="041A0019">
      <w:start w:val="1"/>
      <w:numFmt w:val="lowerLetter"/>
      <w:lvlText w:val="%2."/>
      <w:lvlJc w:val="left"/>
      <w:pPr>
        <w:ind w:left="1800" w:hanging="360"/>
      </w:pPr>
    </w:lvl>
    <w:lvl w:ilvl="2" w:tplc="041A001B">
      <w:start w:val="1"/>
      <w:numFmt w:val="lowerRoman"/>
      <w:lvlText w:val="%3."/>
      <w:lvlJc w:val="right"/>
      <w:pPr>
        <w:ind w:left="2520" w:hanging="180"/>
      </w:pPr>
    </w:lvl>
    <w:lvl w:ilvl="3" w:tplc="041A000F">
      <w:start w:val="1"/>
      <w:numFmt w:val="decimal"/>
      <w:lvlText w:val="%4."/>
      <w:lvlJc w:val="left"/>
      <w:pPr>
        <w:ind w:left="3240" w:hanging="360"/>
      </w:pPr>
    </w:lvl>
    <w:lvl w:ilvl="4" w:tplc="041A0019">
      <w:start w:val="1"/>
      <w:numFmt w:val="lowerLetter"/>
      <w:lvlText w:val="%5."/>
      <w:lvlJc w:val="left"/>
      <w:pPr>
        <w:ind w:left="3960" w:hanging="360"/>
      </w:pPr>
    </w:lvl>
    <w:lvl w:ilvl="5" w:tplc="041A001B">
      <w:start w:val="1"/>
      <w:numFmt w:val="lowerRoman"/>
      <w:lvlText w:val="%6."/>
      <w:lvlJc w:val="right"/>
      <w:pPr>
        <w:ind w:left="4680" w:hanging="180"/>
      </w:pPr>
    </w:lvl>
    <w:lvl w:ilvl="6" w:tplc="041A000F">
      <w:start w:val="1"/>
      <w:numFmt w:val="decimal"/>
      <w:lvlText w:val="%7."/>
      <w:lvlJc w:val="left"/>
      <w:pPr>
        <w:ind w:left="5400" w:hanging="360"/>
      </w:pPr>
    </w:lvl>
    <w:lvl w:ilvl="7" w:tplc="041A0019">
      <w:start w:val="1"/>
      <w:numFmt w:val="lowerLetter"/>
      <w:lvlText w:val="%8."/>
      <w:lvlJc w:val="left"/>
      <w:pPr>
        <w:ind w:left="6120" w:hanging="360"/>
      </w:pPr>
    </w:lvl>
    <w:lvl w:ilvl="8" w:tplc="041A001B">
      <w:start w:val="1"/>
      <w:numFmt w:val="lowerRoman"/>
      <w:lvlText w:val="%9."/>
      <w:lvlJc w:val="right"/>
      <w:pPr>
        <w:ind w:left="6840" w:hanging="180"/>
      </w:pPr>
    </w:lvl>
  </w:abstractNum>
  <w:num w:numId="1">
    <w:abstractNumId w:val="26"/>
  </w:num>
  <w:num w:numId="2">
    <w:abstractNumId w:val="31"/>
  </w:num>
  <w:num w:numId="3">
    <w:abstractNumId w:val="28"/>
  </w:num>
  <w:num w:numId="4">
    <w:abstractNumId w:val="18"/>
  </w:num>
  <w:num w:numId="5">
    <w:abstractNumId w:val="1"/>
  </w:num>
  <w:num w:numId="6">
    <w:abstractNumId w:val="9"/>
  </w:num>
  <w:num w:numId="7">
    <w:abstractNumId w:val="0"/>
  </w:num>
  <w:num w:numId="8">
    <w:abstractNumId w:val="4"/>
  </w:num>
  <w:num w:numId="9">
    <w:abstractNumId w:val="23"/>
  </w:num>
  <w:num w:numId="10">
    <w:abstractNumId w:val="27"/>
  </w:num>
  <w:num w:numId="11">
    <w:abstractNumId w:val="8"/>
  </w:num>
  <w:num w:numId="12">
    <w:abstractNumId w:val="15"/>
  </w:num>
  <w:num w:numId="13">
    <w:abstractNumId w:val="2"/>
  </w:num>
  <w:num w:numId="14">
    <w:abstractNumId w:val="11"/>
  </w:num>
  <w:num w:numId="15">
    <w:abstractNumId w:val="17"/>
  </w:num>
  <w:num w:numId="16">
    <w:abstractNumId w:val="6"/>
  </w:num>
  <w:num w:numId="17">
    <w:abstractNumId w:val="19"/>
  </w:num>
  <w:num w:numId="18">
    <w:abstractNumId w:val="24"/>
  </w:num>
  <w:num w:numId="19">
    <w:abstractNumId w:val="16"/>
  </w:num>
  <w:num w:numId="20">
    <w:abstractNumId w:val="13"/>
  </w:num>
  <w:num w:numId="21">
    <w:abstractNumId w:val="30"/>
  </w:num>
  <w:num w:numId="22">
    <w:abstractNumId w:val="5"/>
  </w:num>
  <w:num w:numId="23">
    <w:abstractNumId w:val="12"/>
  </w:num>
  <w:num w:numId="24">
    <w:abstractNumId w:val="7"/>
  </w:num>
  <w:num w:numId="25">
    <w:abstractNumId w:val="22"/>
  </w:num>
  <w:num w:numId="26">
    <w:abstractNumId w:val="10"/>
  </w:num>
  <w:num w:numId="27">
    <w:abstractNumId w:val="29"/>
  </w:num>
  <w:num w:numId="28">
    <w:abstractNumId w:val="14"/>
  </w:num>
  <w:num w:numId="29">
    <w:abstractNumId w:val="20"/>
  </w:num>
  <w:num w:numId="30">
    <w:abstractNumId w:val="21"/>
  </w:num>
  <w:num w:numId="31">
    <w:abstractNumId w:val="3"/>
  </w:num>
  <w:num w:numId="32">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9"/>
  <w:hyphenationZone w:val="425"/>
  <w:doNotHyphenateCaps/>
  <w:characterSpacingControl w:val="doNotCompress"/>
  <w:doNotValidateAgainstSchema/>
  <w:doNotDemarcateInvalidXml/>
  <w:footnotePr>
    <w:footnote w:id="-1"/>
    <w:footnote w:id="0"/>
  </w:footnotePr>
  <w:endnotePr>
    <w:endnote w:id="-1"/>
    <w:endnote w:id="0"/>
  </w:endnotePr>
  <w:compat/>
  <w:rsids>
    <w:rsidRoot w:val="0023351C"/>
    <w:rsid w:val="00001424"/>
    <w:rsid w:val="000030BB"/>
    <w:rsid w:val="00003916"/>
    <w:rsid w:val="00003CF9"/>
    <w:rsid w:val="00014118"/>
    <w:rsid w:val="00014911"/>
    <w:rsid w:val="00015404"/>
    <w:rsid w:val="00016635"/>
    <w:rsid w:val="00016F6F"/>
    <w:rsid w:val="00017F89"/>
    <w:rsid w:val="000216AC"/>
    <w:rsid w:val="00022A17"/>
    <w:rsid w:val="00023411"/>
    <w:rsid w:val="00025759"/>
    <w:rsid w:val="000275CC"/>
    <w:rsid w:val="000276C2"/>
    <w:rsid w:val="00030A0A"/>
    <w:rsid w:val="00031686"/>
    <w:rsid w:val="00032F32"/>
    <w:rsid w:val="00034035"/>
    <w:rsid w:val="000415E3"/>
    <w:rsid w:val="0004351E"/>
    <w:rsid w:val="00044648"/>
    <w:rsid w:val="00047B1B"/>
    <w:rsid w:val="000502D6"/>
    <w:rsid w:val="00050C19"/>
    <w:rsid w:val="000534E3"/>
    <w:rsid w:val="000548B9"/>
    <w:rsid w:val="00054D85"/>
    <w:rsid w:val="00061ACD"/>
    <w:rsid w:val="00061BC1"/>
    <w:rsid w:val="00061C34"/>
    <w:rsid w:val="00063790"/>
    <w:rsid w:val="0006392D"/>
    <w:rsid w:val="00067A73"/>
    <w:rsid w:val="00070223"/>
    <w:rsid w:val="00070472"/>
    <w:rsid w:val="000710C9"/>
    <w:rsid w:val="000715D7"/>
    <w:rsid w:val="0007163B"/>
    <w:rsid w:val="00071A76"/>
    <w:rsid w:val="00072595"/>
    <w:rsid w:val="000727AB"/>
    <w:rsid w:val="00073838"/>
    <w:rsid w:val="0007486F"/>
    <w:rsid w:val="00075CF1"/>
    <w:rsid w:val="00081F08"/>
    <w:rsid w:val="00082C38"/>
    <w:rsid w:val="0008372E"/>
    <w:rsid w:val="00086559"/>
    <w:rsid w:val="00086B06"/>
    <w:rsid w:val="00086B5D"/>
    <w:rsid w:val="00087938"/>
    <w:rsid w:val="000908D0"/>
    <w:rsid w:val="00091A6D"/>
    <w:rsid w:val="00093271"/>
    <w:rsid w:val="00093D5D"/>
    <w:rsid w:val="00094D66"/>
    <w:rsid w:val="00094EA0"/>
    <w:rsid w:val="0009749B"/>
    <w:rsid w:val="00097A2A"/>
    <w:rsid w:val="000A220C"/>
    <w:rsid w:val="000A40DE"/>
    <w:rsid w:val="000A4713"/>
    <w:rsid w:val="000A57DB"/>
    <w:rsid w:val="000A6A8E"/>
    <w:rsid w:val="000A7FB3"/>
    <w:rsid w:val="000B1B07"/>
    <w:rsid w:val="000B37E8"/>
    <w:rsid w:val="000B4C95"/>
    <w:rsid w:val="000B6B3D"/>
    <w:rsid w:val="000B6CD8"/>
    <w:rsid w:val="000C2644"/>
    <w:rsid w:val="000C271D"/>
    <w:rsid w:val="000C2ABE"/>
    <w:rsid w:val="000C3E1F"/>
    <w:rsid w:val="000C47DC"/>
    <w:rsid w:val="000C53A8"/>
    <w:rsid w:val="000C6183"/>
    <w:rsid w:val="000C65EA"/>
    <w:rsid w:val="000C6DD4"/>
    <w:rsid w:val="000C7B24"/>
    <w:rsid w:val="000D2C76"/>
    <w:rsid w:val="000D3AD0"/>
    <w:rsid w:val="000D3E19"/>
    <w:rsid w:val="000D4135"/>
    <w:rsid w:val="000D63E0"/>
    <w:rsid w:val="000D67C6"/>
    <w:rsid w:val="000D7416"/>
    <w:rsid w:val="000D7498"/>
    <w:rsid w:val="000D7BF0"/>
    <w:rsid w:val="000D7F02"/>
    <w:rsid w:val="000E1E1B"/>
    <w:rsid w:val="000E25D1"/>
    <w:rsid w:val="000E3A38"/>
    <w:rsid w:val="000E3F2B"/>
    <w:rsid w:val="000E4872"/>
    <w:rsid w:val="000E4F98"/>
    <w:rsid w:val="000E6EBC"/>
    <w:rsid w:val="000E7E5F"/>
    <w:rsid w:val="000F00B0"/>
    <w:rsid w:val="000F11C9"/>
    <w:rsid w:val="000F33E4"/>
    <w:rsid w:val="000F4666"/>
    <w:rsid w:val="000F66A3"/>
    <w:rsid w:val="000F6E76"/>
    <w:rsid w:val="000F7140"/>
    <w:rsid w:val="000F75A9"/>
    <w:rsid w:val="0010082B"/>
    <w:rsid w:val="0010094A"/>
    <w:rsid w:val="00100EC7"/>
    <w:rsid w:val="00100FEF"/>
    <w:rsid w:val="0010218C"/>
    <w:rsid w:val="00103E04"/>
    <w:rsid w:val="001044A1"/>
    <w:rsid w:val="00104CF1"/>
    <w:rsid w:val="00104D5F"/>
    <w:rsid w:val="00107276"/>
    <w:rsid w:val="00107CAF"/>
    <w:rsid w:val="00111439"/>
    <w:rsid w:val="00111AAE"/>
    <w:rsid w:val="001144B4"/>
    <w:rsid w:val="00115093"/>
    <w:rsid w:val="00116A87"/>
    <w:rsid w:val="00116AB1"/>
    <w:rsid w:val="00117683"/>
    <w:rsid w:val="001177EF"/>
    <w:rsid w:val="00117D81"/>
    <w:rsid w:val="00120526"/>
    <w:rsid w:val="0012131D"/>
    <w:rsid w:val="00121626"/>
    <w:rsid w:val="00122239"/>
    <w:rsid w:val="00123B99"/>
    <w:rsid w:val="0012465D"/>
    <w:rsid w:val="00124F99"/>
    <w:rsid w:val="001259F7"/>
    <w:rsid w:val="00127877"/>
    <w:rsid w:val="00130CC6"/>
    <w:rsid w:val="00135957"/>
    <w:rsid w:val="00136A94"/>
    <w:rsid w:val="00141834"/>
    <w:rsid w:val="0014313D"/>
    <w:rsid w:val="00143F18"/>
    <w:rsid w:val="001503ED"/>
    <w:rsid w:val="00150978"/>
    <w:rsid w:val="00151B12"/>
    <w:rsid w:val="00152672"/>
    <w:rsid w:val="00153513"/>
    <w:rsid w:val="00154218"/>
    <w:rsid w:val="00154583"/>
    <w:rsid w:val="00155E5B"/>
    <w:rsid w:val="00155F48"/>
    <w:rsid w:val="00160E37"/>
    <w:rsid w:val="001636BA"/>
    <w:rsid w:val="001646BE"/>
    <w:rsid w:val="00173B71"/>
    <w:rsid w:val="00173EEE"/>
    <w:rsid w:val="0017598D"/>
    <w:rsid w:val="00175F45"/>
    <w:rsid w:val="00177C7D"/>
    <w:rsid w:val="00182951"/>
    <w:rsid w:val="001834E4"/>
    <w:rsid w:val="001846C1"/>
    <w:rsid w:val="00185AE8"/>
    <w:rsid w:val="001863B9"/>
    <w:rsid w:val="00186413"/>
    <w:rsid w:val="00186F65"/>
    <w:rsid w:val="00186FBC"/>
    <w:rsid w:val="0019105D"/>
    <w:rsid w:val="00191B17"/>
    <w:rsid w:val="001946D1"/>
    <w:rsid w:val="00195527"/>
    <w:rsid w:val="00195A2D"/>
    <w:rsid w:val="0019609F"/>
    <w:rsid w:val="00196F71"/>
    <w:rsid w:val="001979CE"/>
    <w:rsid w:val="00197FED"/>
    <w:rsid w:val="001A0FDF"/>
    <w:rsid w:val="001A11B0"/>
    <w:rsid w:val="001A19D3"/>
    <w:rsid w:val="001A1FEC"/>
    <w:rsid w:val="001A7314"/>
    <w:rsid w:val="001B1BDC"/>
    <w:rsid w:val="001B2D4A"/>
    <w:rsid w:val="001B401A"/>
    <w:rsid w:val="001B6115"/>
    <w:rsid w:val="001B7155"/>
    <w:rsid w:val="001C18B3"/>
    <w:rsid w:val="001C4899"/>
    <w:rsid w:val="001C4E9B"/>
    <w:rsid w:val="001C79AB"/>
    <w:rsid w:val="001D08FB"/>
    <w:rsid w:val="001D0D2B"/>
    <w:rsid w:val="001D1FF6"/>
    <w:rsid w:val="001D2F91"/>
    <w:rsid w:val="001D3077"/>
    <w:rsid w:val="001D432C"/>
    <w:rsid w:val="001D48D0"/>
    <w:rsid w:val="001D6494"/>
    <w:rsid w:val="001D69CF"/>
    <w:rsid w:val="001D6DAC"/>
    <w:rsid w:val="001D6E5B"/>
    <w:rsid w:val="001D76B2"/>
    <w:rsid w:val="001E19A6"/>
    <w:rsid w:val="001E1B93"/>
    <w:rsid w:val="001E2E7B"/>
    <w:rsid w:val="001E3B62"/>
    <w:rsid w:val="001E5E53"/>
    <w:rsid w:val="001E73CE"/>
    <w:rsid w:val="001F0AF0"/>
    <w:rsid w:val="001F2699"/>
    <w:rsid w:val="001F3882"/>
    <w:rsid w:val="001F3CA0"/>
    <w:rsid w:val="001F446D"/>
    <w:rsid w:val="001F5B32"/>
    <w:rsid w:val="001F5E24"/>
    <w:rsid w:val="001F771C"/>
    <w:rsid w:val="001F7CC3"/>
    <w:rsid w:val="0020042F"/>
    <w:rsid w:val="0020094C"/>
    <w:rsid w:val="00201D62"/>
    <w:rsid w:val="00204380"/>
    <w:rsid w:val="002056C3"/>
    <w:rsid w:val="00206BD5"/>
    <w:rsid w:val="00207898"/>
    <w:rsid w:val="00210B49"/>
    <w:rsid w:val="002115BC"/>
    <w:rsid w:val="00211885"/>
    <w:rsid w:val="002126A9"/>
    <w:rsid w:val="00212D8A"/>
    <w:rsid w:val="00213B44"/>
    <w:rsid w:val="0021403D"/>
    <w:rsid w:val="00215051"/>
    <w:rsid w:val="00216383"/>
    <w:rsid w:val="0021661E"/>
    <w:rsid w:val="00216CAC"/>
    <w:rsid w:val="00220345"/>
    <w:rsid w:val="0022107E"/>
    <w:rsid w:val="0022239D"/>
    <w:rsid w:val="00224B9D"/>
    <w:rsid w:val="002275EF"/>
    <w:rsid w:val="002276DE"/>
    <w:rsid w:val="0022775D"/>
    <w:rsid w:val="0023351C"/>
    <w:rsid w:val="00233B23"/>
    <w:rsid w:val="00235C6C"/>
    <w:rsid w:val="00236615"/>
    <w:rsid w:val="002402D8"/>
    <w:rsid w:val="00240949"/>
    <w:rsid w:val="00240BE4"/>
    <w:rsid w:val="002418E9"/>
    <w:rsid w:val="0024358C"/>
    <w:rsid w:val="002459A1"/>
    <w:rsid w:val="0024725F"/>
    <w:rsid w:val="002479E9"/>
    <w:rsid w:val="002503B8"/>
    <w:rsid w:val="00252140"/>
    <w:rsid w:val="002536DA"/>
    <w:rsid w:val="00253A70"/>
    <w:rsid w:val="00254292"/>
    <w:rsid w:val="00257ADB"/>
    <w:rsid w:val="002602DE"/>
    <w:rsid w:val="00261BC9"/>
    <w:rsid w:val="00263D41"/>
    <w:rsid w:val="00264E03"/>
    <w:rsid w:val="00265B76"/>
    <w:rsid w:val="002664B4"/>
    <w:rsid w:val="0026663D"/>
    <w:rsid w:val="00266937"/>
    <w:rsid w:val="002724AC"/>
    <w:rsid w:val="00272E52"/>
    <w:rsid w:val="00273D0B"/>
    <w:rsid w:val="00274D06"/>
    <w:rsid w:val="002760DA"/>
    <w:rsid w:val="00276828"/>
    <w:rsid w:val="00277317"/>
    <w:rsid w:val="00277E5A"/>
    <w:rsid w:val="00280567"/>
    <w:rsid w:val="00281074"/>
    <w:rsid w:val="00281A95"/>
    <w:rsid w:val="00281C81"/>
    <w:rsid w:val="002851BC"/>
    <w:rsid w:val="00286488"/>
    <w:rsid w:val="00291DA1"/>
    <w:rsid w:val="0029246F"/>
    <w:rsid w:val="00293363"/>
    <w:rsid w:val="002A2C1B"/>
    <w:rsid w:val="002A32EF"/>
    <w:rsid w:val="002A343D"/>
    <w:rsid w:val="002A6A77"/>
    <w:rsid w:val="002B0748"/>
    <w:rsid w:val="002B6429"/>
    <w:rsid w:val="002B732E"/>
    <w:rsid w:val="002C03EC"/>
    <w:rsid w:val="002C0C08"/>
    <w:rsid w:val="002C2014"/>
    <w:rsid w:val="002C2275"/>
    <w:rsid w:val="002C2367"/>
    <w:rsid w:val="002C34C6"/>
    <w:rsid w:val="002C3DC6"/>
    <w:rsid w:val="002C45C6"/>
    <w:rsid w:val="002C490B"/>
    <w:rsid w:val="002C4F3F"/>
    <w:rsid w:val="002C7236"/>
    <w:rsid w:val="002D0B87"/>
    <w:rsid w:val="002D1910"/>
    <w:rsid w:val="002D1BD9"/>
    <w:rsid w:val="002D1D1E"/>
    <w:rsid w:val="002D22C5"/>
    <w:rsid w:val="002D6571"/>
    <w:rsid w:val="002D689E"/>
    <w:rsid w:val="002D6B3C"/>
    <w:rsid w:val="002D773F"/>
    <w:rsid w:val="002D7791"/>
    <w:rsid w:val="002E1CD8"/>
    <w:rsid w:val="002E2BB4"/>
    <w:rsid w:val="002E2CEE"/>
    <w:rsid w:val="002E4671"/>
    <w:rsid w:val="002E5B20"/>
    <w:rsid w:val="002E7349"/>
    <w:rsid w:val="002E7382"/>
    <w:rsid w:val="002F05B2"/>
    <w:rsid w:val="002F22A3"/>
    <w:rsid w:val="002F280F"/>
    <w:rsid w:val="002F345E"/>
    <w:rsid w:val="002F534E"/>
    <w:rsid w:val="002F6105"/>
    <w:rsid w:val="002F72D9"/>
    <w:rsid w:val="002F7F7D"/>
    <w:rsid w:val="00301934"/>
    <w:rsid w:val="003023B7"/>
    <w:rsid w:val="00302801"/>
    <w:rsid w:val="003049E5"/>
    <w:rsid w:val="00306E56"/>
    <w:rsid w:val="0030703B"/>
    <w:rsid w:val="0031033C"/>
    <w:rsid w:val="00310EA9"/>
    <w:rsid w:val="003113EA"/>
    <w:rsid w:val="00311D6C"/>
    <w:rsid w:val="0031323B"/>
    <w:rsid w:val="003160C8"/>
    <w:rsid w:val="00317AA0"/>
    <w:rsid w:val="00320357"/>
    <w:rsid w:val="00321612"/>
    <w:rsid w:val="00324E85"/>
    <w:rsid w:val="00325EDF"/>
    <w:rsid w:val="003270D9"/>
    <w:rsid w:val="00327B4E"/>
    <w:rsid w:val="00327B56"/>
    <w:rsid w:val="00330A1B"/>
    <w:rsid w:val="00331B98"/>
    <w:rsid w:val="003323AC"/>
    <w:rsid w:val="00332CE4"/>
    <w:rsid w:val="00332F31"/>
    <w:rsid w:val="00333111"/>
    <w:rsid w:val="00333FF9"/>
    <w:rsid w:val="00334430"/>
    <w:rsid w:val="0033445C"/>
    <w:rsid w:val="00336642"/>
    <w:rsid w:val="00336A6A"/>
    <w:rsid w:val="00340EE2"/>
    <w:rsid w:val="00343126"/>
    <w:rsid w:val="0034350E"/>
    <w:rsid w:val="003447EA"/>
    <w:rsid w:val="003450D2"/>
    <w:rsid w:val="003452D7"/>
    <w:rsid w:val="003452E7"/>
    <w:rsid w:val="00346BEF"/>
    <w:rsid w:val="003503C4"/>
    <w:rsid w:val="00351965"/>
    <w:rsid w:val="00351CAC"/>
    <w:rsid w:val="003520E0"/>
    <w:rsid w:val="00353FA8"/>
    <w:rsid w:val="00354227"/>
    <w:rsid w:val="0035562B"/>
    <w:rsid w:val="00356792"/>
    <w:rsid w:val="00356D8E"/>
    <w:rsid w:val="003571D4"/>
    <w:rsid w:val="003572CC"/>
    <w:rsid w:val="00357631"/>
    <w:rsid w:val="00357C83"/>
    <w:rsid w:val="00363E37"/>
    <w:rsid w:val="00365AF5"/>
    <w:rsid w:val="00365B13"/>
    <w:rsid w:val="00365B70"/>
    <w:rsid w:val="003704F6"/>
    <w:rsid w:val="003715C5"/>
    <w:rsid w:val="003726F7"/>
    <w:rsid w:val="00372E83"/>
    <w:rsid w:val="00373408"/>
    <w:rsid w:val="00373D99"/>
    <w:rsid w:val="00374158"/>
    <w:rsid w:val="00374511"/>
    <w:rsid w:val="00375DF9"/>
    <w:rsid w:val="003760EA"/>
    <w:rsid w:val="003804C5"/>
    <w:rsid w:val="003806D0"/>
    <w:rsid w:val="00381AEC"/>
    <w:rsid w:val="00382225"/>
    <w:rsid w:val="00382AFF"/>
    <w:rsid w:val="00384603"/>
    <w:rsid w:val="0038579A"/>
    <w:rsid w:val="00386EBA"/>
    <w:rsid w:val="0039218A"/>
    <w:rsid w:val="00394648"/>
    <w:rsid w:val="00394BDD"/>
    <w:rsid w:val="00395944"/>
    <w:rsid w:val="00395C02"/>
    <w:rsid w:val="00395C52"/>
    <w:rsid w:val="00395D4D"/>
    <w:rsid w:val="00396062"/>
    <w:rsid w:val="003A0E23"/>
    <w:rsid w:val="003A4799"/>
    <w:rsid w:val="003A4812"/>
    <w:rsid w:val="003A4F00"/>
    <w:rsid w:val="003A6400"/>
    <w:rsid w:val="003A6D20"/>
    <w:rsid w:val="003A6DA2"/>
    <w:rsid w:val="003A7AF5"/>
    <w:rsid w:val="003B152D"/>
    <w:rsid w:val="003B1974"/>
    <w:rsid w:val="003B3340"/>
    <w:rsid w:val="003B5509"/>
    <w:rsid w:val="003B67A4"/>
    <w:rsid w:val="003B7360"/>
    <w:rsid w:val="003B7674"/>
    <w:rsid w:val="003C0466"/>
    <w:rsid w:val="003C0647"/>
    <w:rsid w:val="003C158C"/>
    <w:rsid w:val="003C2099"/>
    <w:rsid w:val="003C33C8"/>
    <w:rsid w:val="003C4E11"/>
    <w:rsid w:val="003D00E7"/>
    <w:rsid w:val="003D0481"/>
    <w:rsid w:val="003D0971"/>
    <w:rsid w:val="003D1B2A"/>
    <w:rsid w:val="003D35A0"/>
    <w:rsid w:val="003D398D"/>
    <w:rsid w:val="003D5096"/>
    <w:rsid w:val="003D5EC5"/>
    <w:rsid w:val="003D6E55"/>
    <w:rsid w:val="003E0D0D"/>
    <w:rsid w:val="003E2FDF"/>
    <w:rsid w:val="003E32C2"/>
    <w:rsid w:val="003E50BA"/>
    <w:rsid w:val="003F08CA"/>
    <w:rsid w:val="003F3760"/>
    <w:rsid w:val="003F6CA6"/>
    <w:rsid w:val="003F6E6E"/>
    <w:rsid w:val="004002B8"/>
    <w:rsid w:val="00400927"/>
    <w:rsid w:val="00401C07"/>
    <w:rsid w:val="00402886"/>
    <w:rsid w:val="0040330A"/>
    <w:rsid w:val="00403C55"/>
    <w:rsid w:val="0040590A"/>
    <w:rsid w:val="00405AA8"/>
    <w:rsid w:val="00405E04"/>
    <w:rsid w:val="00412091"/>
    <w:rsid w:val="00412B27"/>
    <w:rsid w:val="0041325D"/>
    <w:rsid w:val="00414C42"/>
    <w:rsid w:val="004154C7"/>
    <w:rsid w:val="0041783B"/>
    <w:rsid w:val="004204E1"/>
    <w:rsid w:val="00421AE1"/>
    <w:rsid w:val="00422B95"/>
    <w:rsid w:val="0042370F"/>
    <w:rsid w:val="00423A6E"/>
    <w:rsid w:val="004244B5"/>
    <w:rsid w:val="00424FB3"/>
    <w:rsid w:val="0042531E"/>
    <w:rsid w:val="00425356"/>
    <w:rsid w:val="0042657F"/>
    <w:rsid w:val="0043019F"/>
    <w:rsid w:val="00430210"/>
    <w:rsid w:val="00430260"/>
    <w:rsid w:val="00430FA4"/>
    <w:rsid w:val="00430FA9"/>
    <w:rsid w:val="0043271B"/>
    <w:rsid w:val="00432BD4"/>
    <w:rsid w:val="00434136"/>
    <w:rsid w:val="004346EF"/>
    <w:rsid w:val="00434701"/>
    <w:rsid w:val="00434884"/>
    <w:rsid w:val="004370B8"/>
    <w:rsid w:val="00437599"/>
    <w:rsid w:val="004411EC"/>
    <w:rsid w:val="004427B8"/>
    <w:rsid w:val="00444FC1"/>
    <w:rsid w:val="00446883"/>
    <w:rsid w:val="004515E5"/>
    <w:rsid w:val="004515ED"/>
    <w:rsid w:val="00451BB2"/>
    <w:rsid w:val="00451C14"/>
    <w:rsid w:val="00451F68"/>
    <w:rsid w:val="0045379A"/>
    <w:rsid w:val="0045427D"/>
    <w:rsid w:val="00454379"/>
    <w:rsid w:val="004550F6"/>
    <w:rsid w:val="0045778C"/>
    <w:rsid w:val="00457BFA"/>
    <w:rsid w:val="00461DE3"/>
    <w:rsid w:val="0046222A"/>
    <w:rsid w:val="00464DE5"/>
    <w:rsid w:val="004659A1"/>
    <w:rsid w:val="00465DB6"/>
    <w:rsid w:val="00465EDE"/>
    <w:rsid w:val="0046708C"/>
    <w:rsid w:val="00467E41"/>
    <w:rsid w:val="00471948"/>
    <w:rsid w:val="00472BBB"/>
    <w:rsid w:val="0047321E"/>
    <w:rsid w:val="004741C7"/>
    <w:rsid w:val="00474519"/>
    <w:rsid w:val="004748E0"/>
    <w:rsid w:val="00476AE5"/>
    <w:rsid w:val="00477BA8"/>
    <w:rsid w:val="0048042D"/>
    <w:rsid w:val="00480CD0"/>
    <w:rsid w:val="00480EC1"/>
    <w:rsid w:val="00483922"/>
    <w:rsid w:val="00485A4E"/>
    <w:rsid w:val="00487AEA"/>
    <w:rsid w:val="00491666"/>
    <w:rsid w:val="004920CA"/>
    <w:rsid w:val="00492621"/>
    <w:rsid w:val="00495324"/>
    <w:rsid w:val="00495D9A"/>
    <w:rsid w:val="00495FAB"/>
    <w:rsid w:val="00496EEF"/>
    <w:rsid w:val="004976D9"/>
    <w:rsid w:val="00497B18"/>
    <w:rsid w:val="004A0CC0"/>
    <w:rsid w:val="004A0DAE"/>
    <w:rsid w:val="004A0DAF"/>
    <w:rsid w:val="004A112E"/>
    <w:rsid w:val="004A1494"/>
    <w:rsid w:val="004A3EA4"/>
    <w:rsid w:val="004A3F95"/>
    <w:rsid w:val="004A42F0"/>
    <w:rsid w:val="004A5205"/>
    <w:rsid w:val="004A7EB6"/>
    <w:rsid w:val="004B4377"/>
    <w:rsid w:val="004B4F45"/>
    <w:rsid w:val="004B6FF6"/>
    <w:rsid w:val="004C2A3D"/>
    <w:rsid w:val="004C41D6"/>
    <w:rsid w:val="004C4BAB"/>
    <w:rsid w:val="004C5041"/>
    <w:rsid w:val="004C6B4E"/>
    <w:rsid w:val="004C75E6"/>
    <w:rsid w:val="004D0830"/>
    <w:rsid w:val="004D1938"/>
    <w:rsid w:val="004D2DD2"/>
    <w:rsid w:val="004D584F"/>
    <w:rsid w:val="004D5F73"/>
    <w:rsid w:val="004D6846"/>
    <w:rsid w:val="004E1982"/>
    <w:rsid w:val="004E420E"/>
    <w:rsid w:val="004E6754"/>
    <w:rsid w:val="004F09A1"/>
    <w:rsid w:val="004F1651"/>
    <w:rsid w:val="004F3861"/>
    <w:rsid w:val="004F562E"/>
    <w:rsid w:val="0050140A"/>
    <w:rsid w:val="00501A4A"/>
    <w:rsid w:val="00503BB8"/>
    <w:rsid w:val="005040C2"/>
    <w:rsid w:val="00507A9E"/>
    <w:rsid w:val="00507FE5"/>
    <w:rsid w:val="0051040D"/>
    <w:rsid w:val="00510E1F"/>
    <w:rsid w:val="00511CA0"/>
    <w:rsid w:val="00512B43"/>
    <w:rsid w:val="00512CFF"/>
    <w:rsid w:val="00516438"/>
    <w:rsid w:val="00517CAC"/>
    <w:rsid w:val="00517CD8"/>
    <w:rsid w:val="00521194"/>
    <w:rsid w:val="005213F6"/>
    <w:rsid w:val="0052348B"/>
    <w:rsid w:val="005241D3"/>
    <w:rsid w:val="00524610"/>
    <w:rsid w:val="0052767B"/>
    <w:rsid w:val="00527FFE"/>
    <w:rsid w:val="00531A91"/>
    <w:rsid w:val="00533DFC"/>
    <w:rsid w:val="00534589"/>
    <w:rsid w:val="005352D6"/>
    <w:rsid w:val="00541DD6"/>
    <w:rsid w:val="00542316"/>
    <w:rsid w:val="005425A6"/>
    <w:rsid w:val="00545DC4"/>
    <w:rsid w:val="005462E9"/>
    <w:rsid w:val="00546650"/>
    <w:rsid w:val="00547162"/>
    <w:rsid w:val="005539DA"/>
    <w:rsid w:val="00553BED"/>
    <w:rsid w:val="00553EF1"/>
    <w:rsid w:val="005542D5"/>
    <w:rsid w:val="005578AB"/>
    <w:rsid w:val="005644E5"/>
    <w:rsid w:val="00567313"/>
    <w:rsid w:val="00573E50"/>
    <w:rsid w:val="00576524"/>
    <w:rsid w:val="005767B2"/>
    <w:rsid w:val="005805A2"/>
    <w:rsid w:val="00581EFB"/>
    <w:rsid w:val="00582E44"/>
    <w:rsid w:val="0058348E"/>
    <w:rsid w:val="00584C7A"/>
    <w:rsid w:val="00585E5D"/>
    <w:rsid w:val="0058641E"/>
    <w:rsid w:val="00587133"/>
    <w:rsid w:val="00587332"/>
    <w:rsid w:val="0059291C"/>
    <w:rsid w:val="00595077"/>
    <w:rsid w:val="00595BB8"/>
    <w:rsid w:val="00595E99"/>
    <w:rsid w:val="0059685F"/>
    <w:rsid w:val="00597D0C"/>
    <w:rsid w:val="005A05BD"/>
    <w:rsid w:val="005A0F1C"/>
    <w:rsid w:val="005A1878"/>
    <w:rsid w:val="005A2A1C"/>
    <w:rsid w:val="005A3BF7"/>
    <w:rsid w:val="005A6020"/>
    <w:rsid w:val="005A6232"/>
    <w:rsid w:val="005A67B6"/>
    <w:rsid w:val="005A687B"/>
    <w:rsid w:val="005A74CA"/>
    <w:rsid w:val="005B2023"/>
    <w:rsid w:val="005B35DC"/>
    <w:rsid w:val="005B4178"/>
    <w:rsid w:val="005B5DD2"/>
    <w:rsid w:val="005B66E9"/>
    <w:rsid w:val="005B7B57"/>
    <w:rsid w:val="005C1602"/>
    <w:rsid w:val="005C1825"/>
    <w:rsid w:val="005C2660"/>
    <w:rsid w:val="005C704D"/>
    <w:rsid w:val="005D2023"/>
    <w:rsid w:val="005D262C"/>
    <w:rsid w:val="005D2F18"/>
    <w:rsid w:val="005D4870"/>
    <w:rsid w:val="005D635C"/>
    <w:rsid w:val="005D733E"/>
    <w:rsid w:val="005D76C0"/>
    <w:rsid w:val="005E1C0F"/>
    <w:rsid w:val="005E2CE3"/>
    <w:rsid w:val="005E2D9E"/>
    <w:rsid w:val="005E605B"/>
    <w:rsid w:val="005F4508"/>
    <w:rsid w:val="005F5B59"/>
    <w:rsid w:val="005F7B5B"/>
    <w:rsid w:val="005F7E3D"/>
    <w:rsid w:val="006010C3"/>
    <w:rsid w:val="00601951"/>
    <w:rsid w:val="00602A33"/>
    <w:rsid w:val="00604958"/>
    <w:rsid w:val="0060653E"/>
    <w:rsid w:val="00607EAB"/>
    <w:rsid w:val="00610F3F"/>
    <w:rsid w:val="00611E51"/>
    <w:rsid w:val="00611EB5"/>
    <w:rsid w:val="00612221"/>
    <w:rsid w:val="00612B2F"/>
    <w:rsid w:val="006157C6"/>
    <w:rsid w:val="00617A6D"/>
    <w:rsid w:val="00624411"/>
    <w:rsid w:val="006277EE"/>
    <w:rsid w:val="00627FD2"/>
    <w:rsid w:val="0063173E"/>
    <w:rsid w:val="00631D93"/>
    <w:rsid w:val="00634EEE"/>
    <w:rsid w:val="00636211"/>
    <w:rsid w:val="00637C51"/>
    <w:rsid w:val="00640487"/>
    <w:rsid w:val="0064086C"/>
    <w:rsid w:val="00641B6B"/>
    <w:rsid w:val="00641C72"/>
    <w:rsid w:val="00643C36"/>
    <w:rsid w:val="00644820"/>
    <w:rsid w:val="00646EB5"/>
    <w:rsid w:val="00651089"/>
    <w:rsid w:val="006536E7"/>
    <w:rsid w:val="006541D3"/>
    <w:rsid w:val="00656E94"/>
    <w:rsid w:val="006605C9"/>
    <w:rsid w:val="0066092C"/>
    <w:rsid w:val="006641A8"/>
    <w:rsid w:val="00664D2C"/>
    <w:rsid w:val="00666EF3"/>
    <w:rsid w:val="00671DF9"/>
    <w:rsid w:val="006748DC"/>
    <w:rsid w:val="0067619F"/>
    <w:rsid w:val="00677B2C"/>
    <w:rsid w:val="00680E59"/>
    <w:rsid w:val="006856FF"/>
    <w:rsid w:val="006857C1"/>
    <w:rsid w:val="00690931"/>
    <w:rsid w:val="00691A90"/>
    <w:rsid w:val="00691D35"/>
    <w:rsid w:val="00694BBC"/>
    <w:rsid w:val="006A1996"/>
    <w:rsid w:val="006A2086"/>
    <w:rsid w:val="006A3228"/>
    <w:rsid w:val="006A665A"/>
    <w:rsid w:val="006A6723"/>
    <w:rsid w:val="006A7BB2"/>
    <w:rsid w:val="006B37C5"/>
    <w:rsid w:val="006B37C9"/>
    <w:rsid w:val="006B3DC1"/>
    <w:rsid w:val="006B3FCE"/>
    <w:rsid w:val="006B459A"/>
    <w:rsid w:val="006B62D6"/>
    <w:rsid w:val="006B7CF4"/>
    <w:rsid w:val="006B7DD8"/>
    <w:rsid w:val="006C1291"/>
    <w:rsid w:val="006C342C"/>
    <w:rsid w:val="006C346F"/>
    <w:rsid w:val="006C3A76"/>
    <w:rsid w:val="006C4A25"/>
    <w:rsid w:val="006C5BC8"/>
    <w:rsid w:val="006D0241"/>
    <w:rsid w:val="006D118A"/>
    <w:rsid w:val="006D1E93"/>
    <w:rsid w:val="006D1F6A"/>
    <w:rsid w:val="006D2D64"/>
    <w:rsid w:val="006D5663"/>
    <w:rsid w:val="006D7B19"/>
    <w:rsid w:val="006D7EA3"/>
    <w:rsid w:val="006E11B4"/>
    <w:rsid w:val="006E2381"/>
    <w:rsid w:val="006E3BCD"/>
    <w:rsid w:val="006E3F1F"/>
    <w:rsid w:val="006E4C47"/>
    <w:rsid w:val="006E51FB"/>
    <w:rsid w:val="006E5746"/>
    <w:rsid w:val="006E5A44"/>
    <w:rsid w:val="006E7655"/>
    <w:rsid w:val="006F0794"/>
    <w:rsid w:val="006F0F05"/>
    <w:rsid w:val="006F654D"/>
    <w:rsid w:val="006F7AE7"/>
    <w:rsid w:val="006F7B89"/>
    <w:rsid w:val="00700801"/>
    <w:rsid w:val="00706793"/>
    <w:rsid w:val="00710384"/>
    <w:rsid w:val="00711202"/>
    <w:rsid w:val="007120D2"/>
    <w:rsid w:val="00715405"/>
    <w:rsid w:val="0071569F"/>
    <w:rsid w:val="0071769E"/>
    <w:rsid w:val="00721A96"/>
    <w:rsid w:val="007226A0"/>
    <w:rsid w:val="00723E15"/>
    <w:rsid w:val="00724EF8"/>
    <w:rsid w:val="00726B5E"/>
    <w:rsid w:val="00731585"/>
    <w:rsid w:val="00731E72"/>
    <w:rsid w:val="00734202"/>
    <w:rsid w:val="0073472A"/>
    <w:rsid w:val="00735B53"/>
    <w:rsid w:val="00741791"/>
    <w:rsid w:val="007417C5"/>
    <w:rsid w:val="0074516A"/>
    <w:rsid w:val="0075035D"/>
    <w:rsid w:val="00750B1D"/>
    <w:rsid w:val="007515C8"/>
    <w:rsid w:val="00751FAC"/>
    <w:rsid w:val="007551A8"/>
    <w:rsid w:val="00756364"/>
    <w:rsid w:val="00757F5F"/>
    <w:rsid w:val="00760DD9"/>
    <w:rsid w:val="0076222F"/>
    <w:rsid w:val="007623D8"/>
    <w:rsid w:val="00763064"/>
    <w:rsid w:val="00764021"/>
    <w:rsid w:val="007645CD"/>
    <w:rsid w:val="00764C11"/>
    <w:rsid w:val="00766FF5"/>
    <w:rsid w:val="00767C70"/>
    <w:rsid w:val="007700E9"/>
    <w:rsid w:val="007706D9"/>
    <w:rsid w:val="00774803"/>
    <w:rsid w:val="00776DA6"/>
    <w:rsid w:val="007907CE"/>
    <w:rsid w:val="007958F2"/>
    <w:rsid w:val="00795FC8"/>
    <w:rsid w:val="00797D60"/>
    <w:rsid w:val="007A09DB"/>
    <w:rsid w:val="007A455D"/>
    <w:rsid w:val="007A5095"/>
    <w:rsid w:val="007B03A9"/>
    <w:rsid w:val="007B0491"/>
    <w:rsid w:val="007B051E"/>
    <w:rsid w:val="007B09F1"/>
    <w:rsid w:val="007B2B25"/>
    <w:rsid w:val="007B3933"/>
    <w:rsid w:val="007B64AD"/>
    <w:rsid w:val="007C1307"/>
    <w:rsid w:val="007C2CB8"/>
    <w:rsid w:val="007C3290"/>
    <w:rsid w:val="007C38E7"/>
    <w:rsid w:val="007C4647"/>
    <w:rsid w:val="007C5EB1"/>
    <w:rsid w:val="007D5A34"/>
    <w:rsid w:val="007D6426"/>
    <w:rsid w:val="007D7326"/>
    <w:rsid w:val="007D7525"/>
    <w:rsid w:val="007E11DC"/>
    <w:rsid w:val="007E24B4"/>
    <w:rsid w:val="007E4ADD"/>
    <w:rsid w:val="007E5BEC"/>
    <w:rsid w:val="007F0102"/>
    <w:rsid w:val="007F279F"/>
    <w:rsid w:val="007F2C40"/>
    <w:rsid w:val="007F3965"/>
    <w:rsid w:val="007F3A39"/>
    <w:rsid w:val="007F659E"/>
    <w:rsid w:val="007F6B6C"/>
    <w:rsid w:val="007F6CE2"/>
    <w:rsid w:val="00800E33"/>
    <w:rsid w:val="008044AE"/>
    <w:rsid w:val="0081147D"/>
    <w:rsid w:val="00812F7C"/>
    <w:rsid w:val="008149AE"/>
    <w:rsid w:val="00814B18"/>
    <w:rsid w:val="0081749A"/>
    <w:rsid w:val="00817947"/>
    <w:rsid w:val="0082007E"/>
    <w:rsid w:val="00820EE6"/>
    <w:rsid w:val="00821044"/>
    <w:rsid w:val="00821495"/>
    <w:rsid w:val="0082255B"/>
    <w:rsid w:val="00822FC6"/>
    <w:rsid w:val="0082396C"/>
    <w:rsid w:val="00825BCA"/>
    <w:rsid w:val="00830EC1"/>
    <w:rsid w:val="00832FD2"/>
    <w:rsid w:val="00833BAF"/>
    <w:rsid w:val="008428A9"/>
    <w:rsid w:val="00843657"/>
    <w:rsid w:val="00845B2A"/>
    <w:rsid w:val="008464CD"/>
    <w:rsid w:val="008464D7"/>
    <w:rsid w:val="00846B73"/>
    <w:rsid w:val="00850C94"/>
    <w:rsid w:val="00851342"/>
    <w:rsid w:val="00852A64"/>
    <w:rsid w:val="008533C2"/>
    <w:rsid w:val="00853614"/>
    <w:rsid w:val="00856280"/>
    <w:rsid w:val="00856D82"/>
    <w:rsid w:val="0085790A"/>
    <w:rsid w:val="00860D1C"/>
    <w:rsid w:val="00861129"/>
    <w:rsid w:val="0086579B"/>
    <w:rsid w:val="00865C65"/>
    <w:rsid w:val="008702E2"/>
    <w:rsid w:val="00871089"/>
    <w:rsid w:val="00875CCA"/>
    <w:rsid w:val="00877F33"/>
    <w:rsid w:val="00880BE9"/>
    <w:rsid w:val="00880F7E"/>
    <w:rsid w:val="0088130F"/>
    <w:rsid w:val="00881483"/>
    <w:rsid w:val="00882285"/>
    <w:rsid w:val="008828FB"/>
    <w:rsid w:val="00883E72"/>
    <w:rsid w:val="00884F01"/>
    <w:rsid w:val="00885088"/>
    <w:rsid w:val="0088510D"/>
    <w:rsid w:val="008859AB"/>
    <w:rsid w:val="008905DB"/>
    <w:rsid w:val="00890AF1"/>
    <w:rsid w:val="008910E6"/>
    <w:rsid w:val="008913C3"/>
    <w:rsid w:val="00891956"/>
    <w:rsid w:val="00893343"/>
    <w:rsid w:val="00893C47"/>
    <w:rsid w:val="00893E55"/>
    <w:rsid w:val="008954A7"/>
    <w:rsid w:val="008955AF"/>
    <w:rsid w:val="0089624D"/>
    <w:rsid w:val="008A184C"/>
    <w:rsid w:val="008A24B5"/>
    <w:rsid w:val="008A3A40"/>
    <w:rsid w:val="008A5C67"/>
    <w:rsid w:val="008A7A7D"/>
    <w:rsid w:val="008A7CEE"/>
    <w:rsid w:val="008B5D82"/>
    <w:rsid w:val="008B66D9"/>
    <w:rsid w:val="008B7238"/>
    <w:rsid w:val="008C340A"/>
    <w:rsid w:val="008C5044"/>
    <w:rsid w:val="008C5ED0"/>
    <w:rsid w:val="008C60B8"/>
    <w:rsid w:val="008C67EF"/>
    <w:rsid w:val="008C7F46"/>
    <w:rsid w:val="008D405A"/>
    <w:rsid w:val="008D50F5"/>
    <w:rsid w:val="008D596B"/>
    <w:rsid w:val="008E01D1"/>
    <w:rsid w:val="008E34A1"/>
    <w:rsid w:val="008E484A"/>
    <w:rsid w:val="008E5038"/>
    <w:rsid w:val="008E551D"/>
    <w:rsid w:val="008E78CB"/>
    <w:rsid w:val="008F4893"/>
    <w:rsid w:val="008F6382"/>
    <w:rsid w:val="008F74B6"/>
    <w:rsid w:val="008F7A23"/>
    <w:rsid w:val="009009B5"/>
    <w:rsid w:val="00901C84"/>
    <w:rsid w:val="00902727"/>
    <w:rsid w:val="0090307B"/>
    <w:rsid w:val="00904C18"/>
    <w:rsid w:val="009110C8"/>
    <w:rsid w:val="009140C9"/>
    <w:rsid w:val="00914386"/>
    <w:rsid w:val="0091516E"/>
    <w:rsid w:val="0091544F"/>
    <w:rsid w:val="00917820"/>
    <w:rsid w:val="00917C49"/>
    <w:rsid w:val="009204F6"/>
    <w:rsid w:val="00921FCF"/>
    <w:rsid w:val="0092267A"/>
    <w:rsid w:val="00925393"/>
    <w:rsid w:val="009258D0"/>
    <w:rsid w:val="00926455"/>
    <w:rsid w:val="00927151"/>
    <w:rsid w:val="00930376"/>
    <w:rsid w:val="00930588"/>
    <w:rsid w:val="00930DFE"/>
    <w:rsid w:val="00930E6F"/>
    <w:rsid w:val="00931E18"/>
    <w:rsid w:val="009336A3"/>
    <w:rsid w:val="00934B8A"/>
    <w:rsid w:val="0093550A"/>
    <w:rsid w:val="009379B7"/>
    <w:rsid w:val="00937D05"/>
    <w:rsid w:val="00940806"/>
    <w:rsid w:val="00941BCF"/>
    <w:rsid w:val="009420F8"/>
    <w:rsid w:val="009446CA"/>
    <w:rsid w:val="0094475C"/>
    <w:rsid w:val="00944C1A"/>
    <w:rsid w:val="00944D6E"/>
    <w:rsid w:val="00945787"/>
    <w:rsid w:val="00950820"/>
    <w:rsid w:val="0095161E"/>
    <w:rsid w:val="009531B8"/>
    <w:rsid w:val="009553E0"/>
    <w:rsid w:val="00955F01"/>
    <w:rsid w:val="00962077"/>
    <w:rsid w:val="00962575"/>
    <w:rsid w:val="00962DE4"/>
    <w:rsid w:val="0096372F"/>
    <w:rsid w:val="00965A6F"/>
    <w:rsid w:val="00965DA1"/>
    <w:rsid w:val="009667F6"/>
    <w:rsid w:val="00966BDA"/>
    <w:rsid w:val="00970D95"/>
    <w:rsid w:val="00970F27"/>
    <w:rsid w:val="00973C54"/>
    <w:rsid w:val="00973C72"/>
    <w:rsid w:val="00976611"/>
    <w:rsid w:val="00977237"/>
    <w:rsid w:val="00977D31"/>
    <w:rsid w:val="009800DC"/>
    <w:rsid w:val="00980C59"/>
    <w:rsid w:val="00980D2D"/>
    <w:rsid w:val="009826AB"/>
    <w:rsid w:val="00987962"/>
    <w:rsid w:val="00990F03"/>
    <w:rsid w:val="00991178"/>
    <w:rsid w:val="009922CA"/>
    <w:rsid w:val="0099335F"/>
    <w:rsid w:val="00993B5C"/>
    <w:rsid w:val="00994936"/>
    <w:rsid w:val="00996053"/>
    <w:rsid w:val="00997430"/>
    <w:rsid w:val="009A075B"/>
    <w:rsid w:val="009A0F3D"/>
    <w:rsid w:val="009A119A"/>
    <w:rsid w:val="009A1F49"/>
    <w:rsid w:val="009A2390"/>
    <w:rsid w:val="009A2C6F"/>
    <w:rsid w:val="009A2EA7"/>
    <w:rsid w:val="009A3632"/>
    <w:rsid w:val="009A4CC5"/>
    <w:rsid w:val="009A6FCE"/>
    <w:rsid w:val="009B171B"/>
    <w:rsid w:val="009B21D6"/>
    <w:rsid w:val="009B22F2"/>
    <w:rsid w:val="009B2A19"/>
    <w:rsid w:val="009B39FF"/>
    <w:rsid w:val="009B4420"/>
    <w:rsid w:val="009B4F4F"/>
    <w:rsid w:val="009B5C57"/>
    <w:rsid w:val="009B63C0"/>
    <w:rsid w:val="009C051D"/>
    <w:rsid w:val="009C54C9"/>
    <w:rsid w:val="009C5BC4"/>
    <w:rsid w:val="009C6CB7"/>
    <w:rsid w:val="009C7882"/>
    <w:rsid w:val="009C7A94"/>
    <w:rsid w:val="009D35F2"/>
    <w:rsid w:val="009D417E"/>
    <w:rsid w:val="009D4700"/>
    <w:rsid w:val="009E050C"/>
    <w:rsid w:val="009E3758"/>
    <w:rsid w:val="009E477A"/>
    <w:rsid w:val="009E521D"/>
    <w:rsid w:val="009E58AF"/>
    <w:rsid w:val="009E5EB7"/>
    <w:rsid w:val="009E7A9D"/>
    <w:rsid w:val="009E7F4D"/>
    <w:rsid w:val="009F28A3"/>
    <w:rsid w:val="009F3EEF"/>
    <w:rsid w:val="009F4375"/>
    <w:rsid w:val="009F524B"/>
    <w:rsid w:val="009F5918"/>
    <w:rsid w:val="009F5C99"/>
    <w:rsid w:val="009F662C"/>
    <w:rsid w:val="009F666D"/>
    <w:rsid w:val="009F6ACC"/>
    <w:rsid w:val="009F6F53"/>
    <w:rsid w:val="009F7C7C"/>
    <w:rsid w:val="00A000A1"/>
    <w:rsid w:val="00A01334"/>
    <w:rsid w:val="00A01AF4"/>
    <w:rsid w:val="00A035E1"/>
    <w:rsid w:val="00A06CCB"/>
    <w:rsid w:val="00A1049E"/>
    <w:rsid w:val="00A10584"/>
    <w:rsid w:val="00A11BFA"/>
    <w:rsid w:val="00A13A1D"/>
    <w:rsid w:val="00A13C69"/>
    <w:rsid w:val="00A1581B"/>
    <w:rsid w:val="00A16CF1"/>
    <w:rsid w:val="00A17C9E"/>
    <w:rsid w:val="00A20251"/>
    <w:rsid w:val="00A20771"/>
    <w:rsid w:val="00A2538E"/>
    <w:rsid w:val="00A26631"/>
    <w:rsid w:val="00A305E3"/>
    <w:rsid w:val="00A330FA"/>
    <w:rsid w:val="00A33371"/>
    <w:rsid w:val="00A33446"/>
    <w:rsid w:val="00A3490F"/>
    <w:rsid w:val="00A3636D"/>
    <w:rsid w:val="00A41120"/>
    <w:rsid w:val="00A424BA"/>
    <w:rsid w:val="00A427D9"/>
    <w:rsid w:val="00A44031"/>
    <w:rsid w:val="00A448BE"/>
    <w:rsid w:val="00A46CD4"/>
    <w:rsid w:val="00A50047"/>
    <w:rsid w:val="00A52195"/>
    <w:rsid w:val="00A53054"/>
    <w:rsid w:val="00A530BF"/>
    <w:rsid w:val="00A53FCB"/>
    <w:rsid w:val="00A5554F"/>
    <w:rsid w:val="00A55888"/>
    <w:rsid w:val="00A569B5"/>
    <w:rsid w:val="00A56C8A"/>
    <w:rsid w:val="00A57621"/>
    <w:rsid w:val="00A6167E"/>
    <w:rsid w:val="00A652A1"/>
    <w:rsid w:val="00A66612"/>
    <w:rsid w:val="00A67278"/>
    <w:rsid w:val="00A67682"/>
    <w:rsid w:val="00A67FCF"/>
    <w:rsid w:val="00A71826"/>
    <w:rsid w:val="00A71DD1"/>
    <w:rsid w:val="00A72BC3"/>
    <w:rsid w:val="00A73314"/>
    <w:rsid w:val="00A74EB9"/>
    <w:rsid w:val="00A75160"/>
    <w:rsid w:val="00A7520D"/>
    <w:rsid w:val="00A76402"/>
    <w:rsid w:val="00A77B68"/>
    <w:rsid w:val="00A80977"/>
    <w:rsid w:val="00A81130"/>
    <w:rsid w:val="00A81D21"/>
    <w:rsid w:val="00A82318"/>
    <w:rsid w:val="00A826C0"/>
    <w:rsid w:val="00A8343B"/>
    <w:rsid w:val="00A837CB"/>
    <w:rsid w:val="00A84540"/>
    <w:rsid w:val="00A863FB"/>
    <w:rsid w:val="00A86B82"/>
    <w:rsid w:val="00A87D97"/>
    <w:rsid w:val="00A909EF"/>
    <w:rsid w:val="00A91552"/>
    <w:rsid w:val="00A93187"/>
    <w:rsid w:val="00A93453"/>
    <w:rsid w:val="00A9431D"/>
    <w:rsid w:val="00A945B8"/>
    <w:rsid w:val="00A95D81"/>
    <w:rsid w:val="00A96733"/>
    <w:rsid w:val="00A96CE5"/>
    <w:rsid w:val="00AA2D9E"/>
    <w:rsid w:val="00AA37E3"/>
    <w:rsid w:val="00AA5BA7"/>
    <w:rsid w:val="00AA6504"/>
    <w:rsid w:val="00AA7ADD"/>
    <w:rsid w:val="00AB0CF2"/>
    <w:rsid w:val="00AB4A1C"/>
    <w:rsid w:val="00AB6064"/>
    <w:rsid w:val="00AB6CB9"/>
    <w:rsid w:val="00AB6EC8"/>
    <w:rsid w:val="00AB77C8"/>
    <w:rsid w:val="00AC03D8"/>
    <w:rsid w:val="00AC369D"/>
    <w:rsid w:val="00AC5B7D"/>
    <w:rsid w:val="00AC666A"/>
    <w:rsid w:val="00AC77A5"/>
    <w:rsid w:val="00AC793A"/>
    <w:rsid w:val="00AD1E03"/>
    <w:rsid w:val="00AD2DD2"/>
    <w:rsid w:val="00AD7113"/>
    <w:rsid w:val="00AD737D"/>
    <w:rsid w:val="00AE3FE7"/>
    <w:rsid w:val="00AE40FE"/>
    <w:rsid w:val="00AE59A0"/>
    <w:rsid w:val="00AE6B33"/>
    <w:rsid w:val="00AE7D80"/>
    <w:rsid w:val="00AF1353"/>
    <w:rsid w:val="00AF515D"/>
    <w:rsid w:val="00AF5775"/>
    <w:rsid w:val="00AF7638"/>
    <w:rsid w:val="00B00607"/>
    <w:rsid w:val="00B0174E"/>
    <w:rsid w:val="00B01B13"/>
    <w:rsid w:val="00B02801"/>
    <w:rsid w:val="00B0403C"/>
    <w:rsid w:val="00B05170"/>
    <w:rsid w:val="00B05665"/>
    <w:rsid w:val="00B06D69"/>
    <w:rsid w:val="00B079AA"/>
    <w:rsid w:val="00B07CD7"/>
    <w:rsid w:val="00B07DB7"/>
    <w:rsid w:val="00B07E65"/>
    <w:rsid w:val="00B133CB"/>
    <w:rsid w:val="00B13CA4"/>
    <w:rsid w:val="00B13E82"/>
    <w:rsid w:val="00B14867"/>
    <w:rsid w:val="00B1683E"/>
    <w:rsid w:val="00B22552"/>
    <w:rsid w:val="00B24E97"/>
    <w:rsid w:val="00B32024"/>
    <w:rsid w:val="00B34536"/>
    <w:rsid w:val="00B35C3E"/>
    <w:rsid w:val="00B36B00"/>
    <w:rsid w:val="00B378C9"/>
    <w:rsid w:val="00B37E10"/>
    <w:rsid w:val="00B42245"/>
    <w:rsid w:val="00B432C1"/>
    <w:rsid w:val="00B44EE1"/>
    <w:rsid w:val="00B4514A"/>
    <w:rsid w:val="00B4546F"/>
    <w:rsid w:val="00B47144"/>
    <w:rsid w:val="00B4762C"/>
    <w:rsid w:val="00B47F39"/>
    <w:rsid w:val="00B513C7"/>
    <w:rsid w:val="00B52268"/>
    <w:rsid w:val="00B536DF"/>
    <w:rsid w:val="00B551EA"/>
    <w:rsid w:val="00B56283"/>
    <w:rsid w:val="00B56BDE"/>
    <w:rsid w:val="00B6113A"/>
    <w:rsid w:val="00B6255B"/>
    <w:rsid w:val="00B63428"/>
    <w:rsid w:val="00B66AE5"/>
    <w:rsid w:val="00B67BB3"/>
    <w:rsid w:val="00B71069"/>
    <w:rsid w:val="00B71595"/>
    <w:rsid w:val="00B71727"/>
    <w:rsid w:val="00B71D06"/>
    <w:rsid w:val="00B728E7"/>
    <w:rsid w:val="00B77D53"/>
    <w:rsid w:val="00B802AD"/>
    <w:rsid w:val="00B81AF3"/>
    <w:rsid w:val="00B84084"/>
    <w:rsid w:val="00B84356"/>
    <w:rsid w:val="00B85950"/>
    <w:rsid w:val="00B85E14"/>
    <w:rsid w:val="00B86EEE"/>
    <w:rsid w:val="00B87207"/>
    <w:rsid w:val="00B8730F"/>
    <w:rsid w:val="00B90662"/>
    <w:rsid w:val="00B90998"/>
    <w:rsid w:val="00B923D8"/>
    <w:rsid w:val="00B9362B"/>
    <w:rsid w:val="00B93742"/>
    <w:rsid w:val="00B9510F"/>
    <w:rsid w:val="00B952D2"/>
    <w:rsid w:val="00B95840"/>
    <w:rsid w:val="00B9718B"/>
    <w:rsid w:val="00B97ADF"/>
    <w:rsid w:val="00B97C81"/>
    <w:rsid w:val="00BA0821"/>
    <w:rsid w:val="00BA14EE"/>
    <w:rsid w:val="00BA216E"/>
    <w:rsid w:val="00BA250C"/>
    <w:rsid w:val="00BA2AAA"/>
    <w:rsid w:val="00BB0368"/>
    <w:rsid w:val="00BB047C"/>
    <w:rsid w:val="00BB09F5"/>
    <w:rsid w:val="00BB1C67"/>
    <w:rsid w:val="00BB2134"/>
    <w:rsid w:val="00BB5856"/>
    <w:rsid w:val="00BB58B0"/>
    <w:rsid w:val="00BB6526"/>
    <w:rsid w:val="00BB6D67"/>
    <w:rsid w:val="00BC2389"/>
    <w:rsid w:val="00BC2D56"/>
    <w:rsid w:val="00BC303B"/>
    <w:rsid w:val="00BC6608"/>
    <w:rsid w:val="00BC6A65"/>
    <w:rsid w:val="00BD14E5"/>
    <w:rsid w:val="00BD1B70"/>
    <w:rsid w:val="00BD1EAD"/>
    <w:rsid w:val="00BD4AD0"/>
    <w:rsid w:val="00BD50B5"/>
    <w:rsid w:val="00BD5113"/>
    <w:rsid w:val="00BD7652"/>
    <w:rsid w:val="00BD7986"/>
    <w:rsid w:val="00BE1BFB"/>
    <w:rsid w:val="00BE2048"/>
    <w:rsid w:val="00BE4641"/>
    <w:rsid w:val="00BE4AA3"/>
    <w:rsid w:val="00BE66C8"/>
    <w:rsid w:val="00BE747A"/>
    <w:rsid w:val="00BF0A7C"/>
    <w:rsid w:val="00BF0BAD"/>
    <w:rsid w:val="00BF45CE"/>
    <w:rsid w:val="00BF46ED"/>
    <w:rsid w:val="00BF6541"/>
    <w:rsid w:val="00BF6A94"/>
    <w:rsid w:val="00BF6D35"/>
    <w:rsid w:val="00C003A3"/>
    <w:rsid w:val="00C010A2"/>
    <w:rsid w:val="00C02326"/>
    <w:rsid w:val="00C04099"/>
    <w:rsid w:val="00C04DA2"/>
    <w:rsid w:val="00C057FF"/>
    <w:rsid w:val="00C06FDE"/>
    <w:rsid w:val="00C11E72"/>
    <w:rsid w:val="00C12089"/>
    <w:rsid w:val="00C12970"/>
    <w:rsid w:val="00C13AA8"/>
    <w:rsid w:val="00C13BAF"/>
    <w:rsid w:val="00C14B58"/>
    <w:rsid w:val="00C1545A"/>
    <w:rsid w:val="00C15E69"/>
    <w:rsid w:val="00C16449"/>
    <w:rsid w:val="00C17077"/>
    <w:rsid w:val="00C20CA5"/>
    <w:rsid w:val="00C22D49"/>
    <w:rsid w:val="00C25A20"/>
    <w:rsid w:val="00C25EF4"/>
    <w:rsid w:val="00C26DA5"/>
    <w:rsid w:val="00C2786E"/>
    <w:rsid w:val="00C27FEF"/>
    <w:rsid w:val="00C31397"/>
    <w:rsid w:val="00C3206A"/>
    <w:rsid w:val="00C34977"/>
    <w:rsid w:val="00C3739F"/>
    <w:rsid w:val="00C37A2F"/>
    <w:rsid w:val="00C40203"/>
    <w:rsid w:val="00C408E1"/>
    <w:rsid w:val="00C41D51"/>
    <w:rsid w:val="00C4224F"/>
    <w:rsid w:val="00C42B3A"/>
    <w:rsid w:val="00C42C4C"/>
    <w:rsid w:val="00C436D6"/>
    <w:rsid w:val="00C4376B"/>
    <w:rsid w:val="00C4527E"/>
    <w:rsid w:val="00C477E4"/>
    <w:rsid w:val="00C50537"/>
    <w:rsid w:val="00C51132"/>
    <w:rsid w:val="00C511AD"/>
    <w:rsid w:val="00C51215"/>
    <w:rsid w:val="00C51A1B"/>
    <w:rsid w:val="00C52EF5"/>
    <w:rsid w:val="00C55787"/>
    <w:rsid w:val="00C575BE"/>
    <w:rsid w:val="00C57DE0"/>
    <w:rsid w:val="00C60BA9"/>
    <w:rsid w:val="00C61363"/>
    <w:rsid w:val="00C61697"/>
    <w:rsid w:val="00C63A76"/>
    <w:rsid w:val="00C641DB"/>
    <w:rsid w:val="00C64CD4"/>
    <w:rsid w:val="00C6655B"/>
    <w:rsid w:val="00C70C76"/>
    <w:rsid w:val="00C70ED3"/>
    <w:rsid w:val="00C7297F"/>
    <w:rsid w:val="00C72B4E"/>
    <w:rsid w:val="00C74710"/>
    <w:rsid w:val="00C76B97"/>
    <w:rsid w:val="00C76DD0"/>
    <w:rsid w:val="00C77D06"/>
    <w:rsid w:val="00C80C52"/>
    <w:rsid w:val="00C826C0"/>
    <w:rsid w:val="00C84A79"/>
    <w:rsid w:val="00C865B1"/>
    <w:rsid w:val="00C87B07"/>
    <w:rsid w:val="00C9071D"/>
    <w:rsid w:val="00C9603B"/>
    <w:rsid w:val="00C96DFE"/>
    <w:rsid w:val="00CA0045"/>
    <w:rsid w:val="00CA3B10"/>
    <w:rsid w:val="00CA6C93"/>
    <w:rsid w:val="00CA77EF"/>
    <w:rsid w:val="00CA7D9B"/>
    <w:rsid w:val="00CA7FDF"/>
    <w:rsid w:val="00CB0F52"/>
    <w:rsid w:val="00CB18A6"/>
    <w:rsid w:val="00CB2420"/>
    <w:rsid w:val="00CB4534"/>
    <w:rsid w:val="00CB626E"/>
    <w:rsid w:val="00CB7B8D"/>
    <w:rsid w:val="00CB7F25"/>
    <w:rsid w:val="00CC0127"/>
    <w:rsid w:val="00CC0415"/>
    <w:rsid w:val="00CC1CEC"/>
    <w:rsid w:val="00CD293E"/>
    <w:rsid w:val="00CD34A4"/>
    <w:rsid w:val="00CD357E"/>
    <w:rsid w:val="00CD49C3"/>
    <w:rsid w:val="00CD66C3"/>
    <w:rsid w:val="00CE0F0F"/>
    <w:rsid w:val="00CE2768"/>
    <w:rsid w:val="00CF06B4"/>
    <w:rsid w:val="00CF4110"/>
    <w:rsid w:val="00CF664F"/>
    <w:rsid w:val="00D008D4"/>
    <w:rsid w:val="00D02ACD"/>
    <w:rsid w:val="00D03922"/>
    <w:rsid w:val="00D05B41"/>
    <w:rsid w:val="00D1031A"/>
    <w:rsid w:val="00D1053A"/>
    <w:rsid w:val="00D10D50"/>
    <w:rsid w:val="00D126AF"/>
    <w:rsid w:val="00D1285B"/>
    <w:rsid w:val="00D12EA4"/>
    <w:rsid w:val="00D13523"/>
    <w:rsid w:val="00D1383F"/>
    <w:rsid w:val="00D13BD0"/>
    <w:rsid w:val="00D14780"/>
    <w:rsid w:val="00D15315"/>
    <w:rsid w:val="00D15449"/>
    <w:rsid w:val="00D1571A"/>
    <w:rsid w:val="00D15DBC"/>
    <w:rsid w:val="00D15E9E"/>
    <w:rsid w:val="00D16A3F"/>
    <w:rsid w:val="00D16DA0"/>
    <w:rsid w:val="00D20444"/>
    <w:rsid w:val="00D21AA7"/>
    <w:rsid w:val="00D26B6F"/>
    <w:rsid w:val="00D27235"/>
    <w:rsid w:val="00D3186B"/>
    <w:rsid w:val="00D34801"/>
    <w:rsid w:val="00D35992"/>
    <w:rsid w:val="00D35A11"/>
    <w:rsid w:val="00D362DF"/>
    <w:rsid w:val="00D3651A"/>
    <w:rsid w:val="00D369A6"/>
    <w:rsid w:val="00D37472"/>
    <w:rsid w:val="00D40EA2"/>
    <w:rsid w:val="00D4209C"/>
    <w:rsid w:val="00D43AD2"/>
    <w:rsid w:val="00D44593"/>
    <w:rsid w:val="00D462C4"/>
    <w:rsid w:val="00D46A01"/>
    <w:rsid w:val="00D51818"/>
    <w:rsid w:val="00D51D96"/>
    <w:rsid w:val="00D543E1"/>
    <w:rsid w:val="00D55A21"/>
    <w:rsid w:val="00D55B59"/>
    <w:rsid w:val="00D57676"/>
    <w:rsid w:val="00D57A85"/>
    <w:rsid w:val="00D62C60"/>
    <w:rsid w:val="00D634E1"/>
    <w:rsid w:val="00D66B07"/>
    <w:rsid w:val="00D70137"/>
    <w:rsid w:val="00D71C63"/>
    <w:rsid w:val="00D71F53"/>
    <w:rsid w:val="00D734AF"/>
    <w:rsid w:val="00D742FA"/>
    <w:rsid w:val="00D74F67"/>
    <w:rsid w:val="00D76E4D"/>
    <w:rsid w:val="00D76FD8"/>
    <w:rsid w:val="00D7756D"/>
    <w:rsid w:val="00D8218B"/>
    <w:rsid w:val="00D832A0"/>
    <w:rsid w:val="00D83739"/>
    <w:rsid w:val="00D838E5"/>
    <w:rsid w:val="00D8618D"/>
    <w:rsid w:val="00D87460"/>
    <w:rsid w:val="00D905E4"/>
    <w:rsid w:val="00D90899"/>
    <w:rsid w:val="00D91CE0"/>
    <w:rsid w:val="00D926FC"/>
    <w:rsid w:val="00D928E3"/>
    <w:rsid w:val="00D938BE"/>
    <w:rsid w:val="00DA1B21"/>
    <w:rsid w:val="00DA2943"/>
    <w:rsid w:val="00DA2DA5"/>
    <w:rsid w:val="00DA4C89"/>
    <w:rsid w:val="00DA5055"/>
    <w:rsid w:val="00DA73DE"/>
    <w:rsid w:val="00DB0526"/>
    <w:rsid w:val="00DB3581"/>
    <w:rsid w:val="00DB6706"/>
    <w:rsid w:val="00DC0180"/>
    <w:rsid w:val="00DC1A22"/>
    <w:rsid w:val="00DC37FD"/>
    <w:rsid w:val="00DC4362"/>
    <w:rsid w:val="00DC57F1"/>
    <w:rsid w:val="00DD151C"/>
    <w:rsid w:val="00DD2B69"/>
    <w:rsid w:val="00DD2BFD"/>
    <w:rsid w:val="00DD403F"/>
    <w:rsid w:val="00DD4A4D"/>
    <w:rsid w:val="00DD54F6"/>
    <w:rsid w:val="00DD7EA8"/>
    <w:rsid w:val="00DE1B25"/>
    <w:rsid w:val="00DE2C45"/>
    <w:rsid w:val="00DE3554"/>
    <w:rsid w:val="00DE37EF"/>
    <w:rsid w:val="00DE3C3E"/>
    <w:rsid w:val="00DE42C9"/>
    <w:rsid w:val="00DE4F8D"/>
    <w:rsid w:val="00DE4FD5"/>
    <w:rsid w:val="00DE5B22"/>
    <w:rsid w:val="00DE67AE"/>
    <w:rsid w:val="00DE689A"/>
    <w:rsid w:val="00DE6BB1"/>
    <w:rsid w:val="00DE756B"/>
    <w:rsid w:val="00DE7615"/>
    <w:rsid w:val="00DF0F5C"/>
    <w:rsid w:val="00DF281A"/>
    <w:rsid w:val="00DF590A"/>
    <w:rsid w:val="00DF5A76"/>
    <w:rsid w:val="00DF5C04"/>
    <w:rsid w:val="00DF621C"/>
    <w:rsid w:val="00E0138B"/>
    <w:rsid w:val="00E02CBE"/>
    <w:rsid w:val="00E03ACC"/>
    <w:rsid w:val="00E0542C"/>
    <w:rsid w:val="00E102FD"/>
    <w:rsid w:val="00E10FC7"/>
    <w:rsid w:val="00E1110A"/>
    <w:rsid w:val="00E11639"/>
    <w:rsid w:val="00E1205B"/>
    <w:rsid w:val="00E1499F"/>
    <w:rsid w:val="00E2031E"/>
    <w:rsid w:val="00E22CB5"/>
    <w:rsid w:val="00E23EDC"/>
    <w:rsid w:val="00E25289"/>
    <w:rsid w:val="00E255D1"/>
    <w:rsid w:val="00E27169"/>
    <w:rsid w:val="00E272A7"/>
    <w:rsid w:val="00E27927"/>
    <w:rsid w:val="00E27E52"/>
    <w:rsid w:val="00E328C7"/>
    <w:rsid w:val="00E33AA0"/>
    <w:rsid w:val="00E3514D"/>
    <w:rsid w:val="00E35231"/>
    <w:rsid w:val="00E419E9"/>
    <w:rsid w:val="00E42732"/>
    <w:rsid w:val="00E439F7"/>
    <w:rsid w:val="00E50A57"/>
    <w:rsid w:val="00E50FFA"/>
    <w:rsid w:val="00E524EC"/>
    <w:rsid w:val="00E5319A"/>
    <w:rsid w:val="00E53364"/>
    <w:rsid w:val="00E53600"/>
    <w:rsid w:val="00E53705"/>
    <w:rsid w:val="00E53E8C"/>
    <w:rsid w:val="00E54B67"/>
    <w:rsid w:val="00E5596F"/>
    <w:rsid w:val="00E56201"/>
    <w:rsid w:val="00E6072E"/>
    <w:rsid w:val="00E607A9"/>
    <w:rsid w:val="00E62DAE"/>
    <w:rsid w:val="00E66FCE"/>
    <w:rsid w:val="00E674F7"/>
    <w:rsid w:val="00E7075E"/>
    <w:rsid w:val="00E711FB"/>
    <w:rsid w:val="00E7337E"/>
    <w:rsid w:val="00E74361"/>
    <w:rsid w:val="00E74766"/>
    <w:rsid w:val="00E74A62"/>
    <w:rsid w:val="00E7554E"/>
    <w:rsid w:val="00E7576C"/>
    <w:rsid w:val="00E75DCB"/>
    <w:rsid w:val="00E76EC1"/>
    <w:rsid w:val="00E77C4C"/>
    <w:rsid w:val="00E80413"/>
    <w:rsid w:val="00E806D4"/>
    <w:rsid w:val="00E8100D"/>
    <w:rsid w:val="00E82161"/>
    <w:rsid w:val="00E83AC5"/>
    <w:rsid w:val="00E852AB"/>
    <w:rsid w:val="00E86368"/>
    <w:rsid w:val="00E90B56"/>
    <w:rsid w:val="00E93EC6"/>
    <w:rsid w:val="00EA0A8E"/>
    <w:rsid w:val="00EA307F"/>
    <w:rsid w:val="00EA376D"/>
    <w:rsid w:val="00EA62A3"/>
    <w:rsid w:val="00EA71A4"/>
    <w:rsid w:val="00EA745D"/>
    <w:rsid w:val="00EB178F"/>
    <w:rsid w:val="00EB2C75"/>
    <w:rsid w:val="00EB5860"/>
    <w:rsid w:val="00EB610C"/>
    <w:rsid w:val="00EC058B"/>
    <w:rsid w:val="00EC23F2"/>
    <w:rsid w:val="00EC41EA"/>
    <w:rsid w:val="00EC42CC"/>
    <w:rsid w:val="00EC6596"/>
    <w:rsid w:val="00ED15ED"/>
    <w:rsid w:val="00ED2C59"/>
    <w:rsid w:val="00ED3C8A"/>
    <w:rsid w:val="00ED44E7"/>
    <w:rsid w:val="00ED4960"/>
    <w:rsid w:val="00ED7DBC"/>
    <w:rsid w:val="00EE2472"/>
    <w:rsid w:val="00EE374A"/>
    <w:rsid w:val="00EE4F31"/>
    <w:rsid w:val="00EE56FB"/>
    <w:rsid w:val="00EE5D2A"/>
    <w:rsid w:val="00EE78A8"/>
    <w:rsid w:val="00EF03CE"/>
    <w:rsid w:val="00EF059C"/>
    <w:rsid w:val="00EF0708"/>
    <w:rsid w:val="00EF0F93"/>
    <w:rsid w:val="00EF72CC"/>
    <w:rsid w:val="00EF7AA0"/>
    <w:rsid w:val="00F003DB"/>
    <w:rsid w:val="00F0135E"/>
    <w:rsid w:val="00F02B89"/>
    <w:rsid w:val="00F048D6"/>
    <w:rsid w:val="00F05559"/>
    <w:rsid w:val="00F06392"/>
    <w:rsid w:val="00F063D0"/>
    <w:rsid w:val="00F109AF"/>
    <w:rsid w:val="00F14778"/>
    <w:rsid w:val="00F150B0"/>
    <w:rsid w:val="00F16011"/>
    <w:rsid w:val="00F1781F"/>
    <w:rsid w:val="00F17DFF"/>
    <w:rsid w:val="00F20748"/>
    <w:rsid w:val="00F20812"/>
    <w:rsid w:val="00F22604"/>
    <w:rsid w:val="00F23D12"/>
    <w:rsid w:val="00F25164"/>
    <w:rsid w:val="00F25CA7"/>
    <w:rsid w:val="00F26A31"/>
    <w:rsid w:val="00F26E27"/>
    <w:rsid w:val="00F311B5"/>
    <w:rsid w:val="00F319F8"/>
    <w:rsid w:val="00F33EA8"/>
    <w:rsid w:val="00F34612"/>
    <w:rsid w:val="00F36083"/>
    <w:rsid w:val="00F36C30"/>
    <w:rsid w:val="00F40514"/>
    <w:rsid w:val="00F40E2A"/>
    <w:rsid w:val="00F42A01"/>
    <w:rsid w:val="00F43A15"/>
    <w:rsid w:val="00F43FCB"/>
    <w:rsid w:val="00F44DB6"/>
    <w:rsid w:val="00F44E27"/>
    <w:rsid w:val="00F45693"/>
    <w:rsid w:val="00F45B99"/>
    <w:rsid w:val="00F52B35"/>
    <w:rsid w:val="00F53760"/>
    <w:rsid w:val="00F553C9"/>
    <w:rsid w:val="00F56C2C"/>
    <w:rsid w:val="00F57BC3"/>
    <w:rsid w:val="00F57CCB"/>
    <w:rsid w:val="00F6025D"/>
    <w:rsid w:val="00F60B73"/>
    <w:rsid w:val="00F61735"/>
    <w:rsid w:val="00F632C9"/>
    <w:rsid w:val="00F63E3F"/>
    <w:rsid w:val="00F641CC"/>
    <w:rsid w:val="00F65472"/>
    <w:rsid w:val="00F663B5"/>
    <w:rsid w:val="00F67D17"/>
    <w:rsid w:val="00F7043E"/>
    <w:rsid w:val="00F70CA0"/>
    <w:rsid w:val="00F7141A"/>
    <w:rsid w:val="00F716E8"/>
    <w:rsid w:val="00F724D6"/>
    <w:rsid w:val="00F72544"/>
    <w:rsid w:val="00F72E1C"/>
    <w:rsid w:val="00F7344D"/>
    <w:rsid w:val="00F7765A"/>
    <w:rsid w:val="00F80663"/>
    <w:rsid w:val="00F80CE0"/>
    <w:rsid w:val="00F829CF"/>
    <w:rsid w:val="00F82D11"/>
    <w:rsid w:val="00F82D63"/>
    <w:rsid w:val="00F82F23"/>
    <w:rsid w:val="00F83537"/>
    <w:rsid w:val="00F852C2"/>
    <w:rsid w:val="00F85993"/>
    <w:rsid w:val="00F86E5C"/>
    <w:rsid w:val="00F90A9C"/>
    <w:rsid w:val="00F91FB7"/>
    <w:rsid w:val="00F922FD"/>
    <w:rsid w:val="00F94FF7"/>
    <w:rsid w:val="00F96BAA"/>
    <w:rsid w:val="00F971B5"/>
    <w:rsid w:val="00F975ED"/>
    <w:rsid w:val="00FA075A"/>
    <w:rsid w:val="00FA1160"/>
    <w:rsid w:val="00FA244A"/>
    <w:rsid w:val="00FA26FA"/>
    <w:rsid w:val="00FA2D3E"/>
    <w:rsid w:val="00FA5A01"/>
    <w:rsid w:val="00FB1B8A"/>
    <w:rsid w:val="00FB243C"/>
    <w:rsid w:val="00FB4C8D"/>
    <w:rsid w:val="00FB59E7"/>
    <w:rsid w:val="00FB7374"/>
    <w:rsid w:val="00FB7B6C"/>
    <w:rsid w:val="00FC114D"/>
    <w:rsid w:val="00FC1D70"/>
    <w:rsid w:val="00FC402C"/>
    <w:rsid w:val="00FC5230"/>
    <w:rsid w:val="00FC57C9"/>
    <w:rsid w:val="00FC5E59"/>
    <w:rsid w:val="00FC6773"/>
    <w:rsid w:val="00FC6CBE"/>
    <w:rsid w:val="00FC72CA"/>
    <w:rsid w:val="00FC7995"/>
    <w:rsid w:val="00FD16AC"/>
    <w:rsid w:val="00FD6F35"/>
    <w:rsid w:val="00FE1C5A"/>
    <w:rsid w:val="00FE2E9C"/>
    <w:rsid w:val="00FE559F"/>
    <w:rsid w:val="00FE67BC"/>
    <w:rsid w:val="00FE7026"/>
    <w:rsid w:val="00FE709B"/>
    <w:rsid w:val="00FF0E9B"/>
    <w:rsid w:val="00FF1B09"/>
    <w:rsid w:val="00FF2FA0"/>
    <w:rsid w:val="00FF395C"/>
    <w:rsid w:val="00FF44F6"/>
    <w:rsid w:val="00FF4EC3"/>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hr-HR" w:eastAsia="hr-HR"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BC2D56"/>
    <w:pPr>
      <w:spacing w:after="200" w:line="360" w:lineRule="auto"/>
      <w:jc w:val="both"/>
    </w:pPr>
    <w:rPr>
      <w:sz w:val="24"/>
      <w:szCs w:val="24"/>
      <w:lang w:eastAsia="en-US"/>
    </w:rPr>
  </w:style>
  <w:style w:type="paragraph" w:styleId="Heading1">
    <w:name w:val="heading 1"/>
    <w:basedOn w:val="Normal"/>
    <w:next w:val="Normal"/>
    <w:link w:val="Heading1Char"/>
    <w:uiPriority w:val="99"/>
    <w:qFormat/>
    <w:rsid w:val="00DC57F1"/>
    <w:pPr>
      <w:keepNext/>
      <w:keepLines/>
      <w:numPr>
        <w:numId w:val="1"/>
      </w:numPr>
      <w:spacing w:before="480" w:after="0"/>
      <w:outlineLvl w:val="0"/>
    </w:pPr>
    <w:rPr>
      <w:b/>
      <w:bCs/>
      <w:sz w:val="36"/>
      <w:szCs w:val="36"/>
    </w:rPr>
  </w:style>
  <w:style w:type="paragraph" w:styleId="Heading2">
    <w:name w:val="heading 2"/>
    <w:basedOn w:val="Normal"/>
    <w:next w:val="Normal"/>
    <w:link w:val="Heading2Char"/>
    <w:uiPriority w:val="99"/>
    <w:qFormat/>
    <w:rsid w:val="003160C8"/>
    <w:pPr>
      <w:keepNext/>
      <w:keepLines/>
      <w:spacing w:before="200" w:after="0"/>
      <w:outlineLvl w:val="1"/>
    </w:pPr>
    <w:rPr>
      <w:b/>
      <w:bCs/>
      <w:sz w:val="32"/>
      <w:szCs w:val="32"/>
    </w:rPr>
  </w:style>
  <w:style w:type="paragraph" w:styleId="Heading3">
    <w:name w:val="heading 3"/>
    <w:basedOn w:val="Normal"/>
    <w:next w:val="Normal"/>
    <w:link w:val="Heading3Char"/>
    <w:uiPriority w:val="99"/>
    <w:qFormat/>
    <w:rsid w:val="00054D85"/>
    <w:pPr>
      <w:keepNext/>
      <w:keepLines/>
      <w:spacing w:before="200" w:after="0"/>
      <w:outlineLvl w:val="2"/>
    </w:pPr>
    <w:rPr>
      <w:b/>
      <w:bCs/>
      <w:sz w:val="28"/>
      <w:szCs w:val="28"/>
    </w:rPr>
  </w:style>
  <w:style w:type="paragraph" w:styleId="Heading4">
    <w:name w:val="heading 4"/>
    <w:basedOn w:val="Normal"/>
    <w:next w:val="Normal"/>
    <w:link w:val="Heading4Char"/>
    <w:uiPriority w:val="99"/>
    <w:qFormat/>
    <w:rsid w:val="00E25289"/>
    <w:pPr>
      <w:keepNext/>
      <w:keepLines/>
      <w:spacing w:before="200" w:after="0"/>
      <w:outlineLvl w:val="3"/>
    </w:pPr>
    <w:rPr>
      <w:b/>
      <w:bCs/>
      <w:sz w:val="26"/>
      <w:szCs w:val="26"/>
    </w:rPr>
  </w:style>
  <w:style w:type="paragraph" w:styleId="Heading5">
    <w:name w:val="heading 5"/>
    <w:basedOn w:val="Normal"/>
    <w:next w:val="Normal"/>
    <w:link w:val="Heading5Char"/>
    <w:uiPriority w:val="99"/>
    <w:qFormat/>
    <w:rsid w:val="000C2644"/>
    <w:pPr>
      <w:keepNext/>
      <w:keepLines/>
      <w:spacing w:before="200" w:after="0"/>
      <w:outlineLvl w:val="4"/>
    </w:pPr>
    <w:rPr>
      <w:color w:val="243F60"/>
    </w:rPr>
  </w:style>
  <w:style w:type="paragraph" w:styleId="Heading6">
    <w:name w:val="heading 6"/>
    <w:basedOn w:val="Normal"/>
    <w:next w:val="Normal"/>
    <w:link w:val="Heading6Char"/>
    <w:uiPriority w:val="99"/>
    <w:qFormat/>
    <w:rsid w:val="000C2644"/>
    <w:pPr>
      <w:keepNext/>
      <w:keepLines/>
      <w:spacing w:before="200" w:after="0"/>
      <w:outlineLvl w:val="5"/>
    </w:pPr>
    <w:rPr>
      <w:i/>
      <w:iCs/>
      <w:color w:val="243F60"/>
    </w:rPr>
  </w:style>
  <w:style w:type="paragraph" w:styleId="Heading7">
    <w:name w:val="heading 7"/>
    <w:basedOn w:val="Normal"/>
    <w:next w:val="Normal"/>
    <w:link w:val="Heading7Char"/>
    <w:uiPriority w:val="99"/>
    <w:qFormat/>
    <w:rsid w:val="000C2644"/>
    <w:pPr>
      <w:keepNext/>
      <w:keepLines/>
      <w:spacing w:before="200" w:after="0"/>
      <w:outlineLvl w:val="6"/>
    </w:pPr>
    <w:rPr>
      <w:i/>
      <w:iCs/>
      <w:color w:val="404040"/>
    </w:rPr>
  </w:style>
  <w:style w:type="paragraph" w:styleId="Heading8">
    <w:name w:val="heading 8"/>
    <w:basedOn w:val="Normal"/>
    <w:next w:val="Normal"/>
    <w:link w:val="Heading8Char"/>
    <w:uiPriority w:val="99"/>
    <w:qFormat/>
    <w:rsid w:val="000C2644"/>
    <w:pPr>
      <w:keepNext/>
      <w:keepLines/>
      <w:spacing w:before="200" w:after="0"/>
      <w:outlineLvl w:val="7"/>
    </w:pPr>
    <w:rPr>
      <w:color w:val="404040"/>
      <w:sz w:val="20"/>
      <w:szCs w:val="20"/>
    </w:rPr>
  </w:style>
  <w:style w:type="paragraph" w:styleId="Heading9">
    <w:name w:val="heading 9"/>
    <w:basedOn w:val="Normal"/>
    <w:next w:val="Normal"/>
    <w:link w:val="Heading9Char"/>
    <w:uiPriority w:val="99"/>
    <w:qFormat/>
    <w:rsid w:val="000C2644"/>
    <w:pPr>
      <w:keepNext/>
      <w:keepLines/>
      <w:spacing w:before="200" w:after="0"/>
      <w:outlineLvl w:val="8"/>
    </w:pPr>
    <w:rPr>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C57F1"/>
    <w:rPr>
      <w:rFonts w:ascii="Times New Roman" w:hAnsi="Times New Roman" w:cs="Times New Roman"/>
      <w:b/>
      <w:bCs/>
      <w:sz w:val="28"/>
      <w:szCs w:val="28"/>
    </w:rPr>
  </w:style>
  <w:style w:type="character" w:customStyle="1" w:styleId="Heading2Char">
    <w:name w:val="Heading 2 Char"/>
    <w:basedOn w:val="DefaultParagraphFont"/>
    <w:link w:val="Heading2"/>
    <w:uiPriority w:val="99"/>
    <w:locked/>
    <w:rsid w:val="003160C8"/>
    <w:rPr>
      <w:rFonts w:ascii="Times New Roman" w:hAnsi="Times New Roman" w:cs="Times New Roman"/>
      <w:b/>
      <w:bCs/>
      <w:sz w:val="26"/>
      <w:szCs w:val="26"/>
    </w:rPr>
  </w:style>
  <w:style w:type="character" w:customStyle="1" w:styleId="Heading3Char">
    <w:name w:val="Heading 3 Char"/>
    <w:basedOn w:val="DefaultParagraphFont"/>
    <w:link w:val="Heading3"/>
    <w:uiPriority w:val="99"/>
    <w:locked/>
    <w:rsid w:val="00054D85"/>
    <w:rPr>
      <w:rFonts w:ascii="Times New Roman" w:hAnsi="Times New Roman" w:cs="Times New Roman"/>
      <w:b/>
      <w:bCs/>
      <w:sz w:val="28"/>
      <w:szCs w:val="28"/>
    </w:rPr>
  </w:style>
  <w:style w:type="character" w:customStyle="1" w:styleId="Heading4Char">
    <w:name w:val="Heading 4 Char"/>
    <w:basedOn w:val="DefaultParagraphFont"/>
    <w:link w:val="Heading4"/>
    <w:uiPriority w:val="99"/>
    <w:locked/>
    <w:rsid w:val="00E25289"/>
    <w:rPr>
      <w:rFonts w:ascii="Times New Roman" w:hAnsi="Times New Roman" w:cs="Times New Roman"/>
      <w:b/>
      <w:bCs/>
      <w:sz w:val="26"/>
      <w:szCs w:val="26"/>
    </w:rPr>
  </w:style>
  <w:style w:type="character" w:customStyle="1" w:styleId="Heading5Char">
    <w:name w:val="Heading 5 Char"/>
    <w:basedOn w:val="DefaultParagraphFont"/>
    <w:link w:val="Heading5"/>
    <w:uiPriority w:val="99"/>
    <w:locked/>
    <w:rsid w:val="000C2644"/>
    <w:rPr>
      <w:rFonts w:ascii="Times New Roman" w:hAnsi="Times New Roman" w:cs="Times New Roman"/>
      <w:color w:val="243F60"/>
    </w:rPr>
  </w:style>
  <w:style w:type="character" w:customStyle="1" w:styleId="Heading6Char">
    <w:name w:val="Heading 6 Char"/>
    <w:basedOn w:val="DefaultParagraphFont"/>
    <w:link w:val="Heading6"/>
    <w:uiPriority w:val="99"/>
    <w:locked/>
    <w:rsid w:val="000C2644"/>
    <w:rPr>
      <w:rFonts w:ascii="Times New Roman" w:hAnsi="Times New Roman" w:cs="Times New Roman"/>
      <w:i/>
      <w:iCs/>
      <w:color w:val="243F60"/>
    </w:rPr>
  </w:style>
  <w:style w:type="character" w:customStyle="1" w:styleId="Heading7Char">
    <w:name w:val="Heading 7 Char"/>
    <w:basedOn w:val="DefaultParagraphFont"/>
    <w:link w:val="Heading7"/>
    <w:uiPriority w:val="99"/>
    <w:locked/>
    <w:rsid w:val="000C2644"/>
    <w:rPr>
      <w:rFonts w:ascii="Times New Roman" w:hAnsi="Times New Roman" w:cs="Times New Roman"/>
      <w:i/>
      <w:iCs/>
      <w:color w:val="404040"/>
    </w:rPr>
  </w:style>
  <w:style w:type="character" w:customStyle="1" w:styleId="Heading8Char">
    <w:name w:val="Heading 8 Char"/>
    <w:basedOn w:val="DefaultParagraphFont"/>
    <w:link w:val="Heading8"/>
    <w:uiPriority w:val="99"/>
    <w:locked/>
    <w:rsid w:val="000C2644"/>
    <w:rPr>
      <w:rFonts w:ascii="Times New Roman" w:hAnsi="Times New Roman" w:cs="Times New Roman"/>
      <w:color w:val="404040"/>
      <w:sz w:val="20"/>
      <w:szCs w:val="20"/>
    </w:rPr>
  </w:style>
  <w:style w:type="character" w:customStyle="1" w:styleId="Heading9Char">
    <w:name w:val="Heading 9 Char"/>
    <w:basedOn w:val="DefaultParagraphFont"/>
    <w:link w:val="Heading9"/>
    <w:uiPriority w:val="99"/>
    <w:locked/>
    <w:rsid w:val="000C2644"/>
    <w:rPr>
      <w:rFonts w:ascii="Times New Roman" w:hAnsi="Times New Roman" w:cs="Times New Roman"/>
      <w:i/>
      <w:iCs/>
      <w:color w:val="404040"/>
      <w:sz w:val="20"/>
      <w:szCs w:val="20"/>
    </w:rPr>
  </w:style>
  <w:style w:type="paragraph" w:styleId="DocumentMap">
    <w:name w:val="Document Map"/>
    <w:basedOn w:val="Normal"/>
    <w:link w:val="DocumentMapChar"/>
    <w:uiPriority w:val="99"/>
    <w:semiHidden/>
    <w:rsid w:val="0023351C"/>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23351C"/>
    <w:rPr>
      <w:rFonts w:ascii="Tahoma" w:hAnsi="Tahoma" w:cs="Tahoma"/>
      <w:sz w:val="16"/>
      <w:szCs w:val="16"/>
    </w:rPr>
  </w:style>
  <w:style w:type="paragraph" w:styleId="Header">
    <w:name w:val="header"/>
    <w:basedOn w:val="Normal"/>
    <w:link w:val="HeaderChar"/>
    <w:uiPriority w:val="99"/>
    <w:semiHidden/>
    <w:rsid w:val="000C2644"/>
    <w:pPr>
      <w:tabs>
        <w:tab w:val="center" w:pos="4536"/>
        <w:tab w:val="right" w:pos="9072"/>
      </w:tabs>
      <w:spacing w:after="0" w:line="240" w:lineRule="auto"/>
    </w:pPr>
  </w:style>
  <w:style w:type="character" w:customStyle="1" w:styleId="HeaderChar">
    <w:name w:val="Header Char"/>
    <w:basedOn w:val="DefaultParagraphFont"/>
    <w:link w:val="Header"/>
    <w:uiPriority w:val="99"/>
    <w:semiHidden/>
    <w:locked/>
    <w:rsid w:val="000C2644"/>
  </w:style>
  <w:style w:type="paragraph" w:styleId="Footer">
    <w:name w:val="footer"/>
    <w:basedOn w:val="Normal"/>
    <w:link w:val="FooterChar"/>
    <w:uiPriority w:val="99"/>
    <w:rsid w:val="000C2644"/>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0C2644"/>
  </w:style>
  <w:style w:type="paragraph" w:styleId="NoSpacing">
    <w:name w:val="No Spacing"/>
    <w:uiPriority w:val="99"/>
    <w:qFormat/>
    <w:rsid w:val="000C2644"/>
    <w:rPr>
      <w:lang w:eastAsia="en-US"/>
    </w:rPr>
  </w:style>
  <w:style w:type="paragraph" w:styleId="Title">
    <w:name w:val="Title"/>
    <w:basedOn w:val="Normal"/>
    <w:next w:val="Normal"/>
    <w:link w:val="TitleChar"/>
    <w:uiPriority w:val="99"/>
    <w:qFormat/>
    <w:rsid w:val="000C2644"/>
    <w:pPr>
      <w:pBdr>
        <w:bottom w:val="single" w:sz="8" w:space="4" w:color="4F81BD"/>
      </w:pBdr>
      <w:spacing w:after="300" w:line="240" w:lineRule="auto"/>
    </w:pPr>
    <w:rPr>
      <w:color w:val="17365D"/>
      <w:spacing w:val="5"/>
      <w:kern w:val="28"/>
      <w:sz w:val="52"/>
      <w:szCs w:val="52"/>
    </w:rPr>
  </w:style>
  <w:style w:type="character" w:customStyle="1" w:styleId="TitleChar">
    <w:name w:val="Title Char"/>
    <w:basedOn w:val="DefaultParagraphFont"/>
    <w:link w:val="Title"/>
    <w:uiPriority w:val="99"/>
    <w:locked/>
    <w:rsid w:val="000C2644"/>
    <w:rPr>
      <w:rFonts w:ascii="Times New Roman" w:hAnsi="Times New Roman" w:cs="Times New Roman"/>
      <w:color w:val="17365D"/>
      <w:spacing w:val="5"/>
      <w:kern w:val="28"/>
      <w:sz w:val="52"/>
      <w:szCs w:val="52"/>
    </w:rPr>
  </w:style>
  <w:style w:type="character" w:styleId="LineNumber">
    <w:name w:val="line number"/>
    <w:basedOn w:val="DefaultParagraphFont"/>
    <w:uiPriority w:val="99"/>
    <w:semiHidden/>
    <w:rsid w:val="00BC2D56"/>
  </w:style>
  <w:style w:type="paragraph" w:styleId="FootnoteText">
    <w:name w:val="footnote text"/>
    <w:basedOn w:val="Normal"/>
    <w:link w:val="FootnoteTextChar"/>
    <w:uiPriority w:val="99"/>
    <w:semiHidden/>
    <w:rsid w:val="00F36083"/>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F36083"/>
    <w:rPr>
      <w:sz w:val="20"/>
      <w:szCs w:val="20"/>
    </w:rPr>
  </w:style>
  <w:style w:type="character" w:styleId="FootnoteReference">
    <w:name w:val="footnote reference"/>
    <w:basedOn w:val="DefaultParagraphFont"/>
    <w:uiPriority w:val="99"/>
    <w:semiHidden/>
    <w:rsid w:val="00F36083"/>
    <w:rPr>
      <w:vertAlign w:val="superscript"/>
    </w:rPr>
  </w:style>
  <w:style w:type="paragraph" w:styleId="BalloonText">
    <w:name w:val="Balloon Text"/>
    <w:basedOn w:val="Normal"/>
    <w:link w:val="BalloonTextChar"/>
    <w:uiPriority w:val="99"/>
    <w:semiHidden/>
    <w:rsid w:val="00641B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1B6B"/>
    <w:rPr>
      <w:rFonts w:ascii="Tahoma" w:hAnsi="Tahoma" w:cs="Tahoma"/>
      <w:sz w:val="16"/>
      <w:szCs w:val="16"/>
    </w:rPr>
  </w:style>
  <w:style w:type="table" w:customStyle="1" w:styleId="LightShading1">
    <w:name w:val="Light Shading1"/>
    <w:uiPriority w:val="99"/>
    <w:rsid w:val="00641B6B"/>
    <w:rPr>
      <w:color w:val="000000"/>
      <w:sz w:val="20"/>
      <w:szCs w:val="2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
    <w:name w:val="Table Grid"/>
    <w:basedOn w:val="TableNormal"/>
    <w:uiPriority w:val="99"/>
    <w:rsid w:val="0071569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rsid w:val="00430FA4"/>
    <w:pPr>
      <w:spacing w:before="100" w:beforeAutospacing="1" w:after="100" w:afterAutospacing="1" w:line="240" w:lineRule="auto"/>
      <w:jc w:val="left"/>
    </w:pPr>
    <w:rPr>
      <w:lang w:eastAsia="hr-HR"/>
    </w:rPr>
  </w:style>
  <w:style w:type="character" w:styleId="Hyperlink">
    <w:name w:val="Hyperlink"/>
    <w:basedOn w:val="DefaultParagraphFont"/>
    <w:uiPriority w:val="99"/>
    <w:rsid w:val="00430FA4"/>
    <w:rPr>
      <w:color w:val="0000FF"/>
      <w:u w:val="single"/>
    </w:rPr>
  </w:style>
  <w:style w:type="character" w:customStyle="1" w:styleId="mw-headline">
    <w:name w:val="mw-headline"/>
    <w:basedOn w:val="DefaultParagraphFont"/>
    <w:uiPriority w:val="99"/>
    <w:rsid w:val="00430FA4"/>
  </w:style>
  <w:style w:type="paragraph" w:styleId="ListParagraph">
    <w:name w:val="List Paragraph"/>
    <w:basedOn w:val="Normal"/>
    <w:uiPriority w:val="99"/>
    <w:qFormat/>
    <w:rsid w:val="009800DC"/>
    <w:pPr>
      <w:ind w:left="720"/>
    </w:pPr>
  </w:style>
  <w:style w:type="paragraph" w:customStyle="1" w:styleId="CM4">
    <w:name w:val="CM4"/>
    <w:basedOn w:val="Normal"/>
    <w:next w:val="Normal"/>
    <w:uiPriority w:val="99"/>
    <w:rsid w:val="00E22CB5"/>
    <w:pPr>
      <w:autoSpaceDE w:val="0"/>
      <w:autoSpaceDN w:val="0"/>
      <w:adjustRightInd w:val="0"/>
      <w:spacing w:after="0" w:line="240" w:lineRule="auto"/>
      <w:jc w:val="left"/>
    </w:pPr>
    <w:rPr>
      <w:rFonts w:ascii="EUAlbertina" w:hAnsi="EUAlbertina" w:cs="EUAlbertina"/>
    </w:rPr>
  </w:style>
  <w:style w:type="table" w:customStyle="1" w:styleId="LightShading2">
    <w:name w:val="Light Shading2"/>
    <w:uiPriority w:val="99"/>
    <w:rsid w:val="0071569F"/>
    <w:pPr>
      <w:jc w:val="center"/>
    </w:pPr>
    <w:rPr>
      <w:color w:val="000000"/>
      <w:sz w:val="20"/>
      <w:szCs w:val="20"/>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ihotablica">
    <w:name w:val="tiho tablica"/>
    <w:basedOn w:val="TableGrid"/>
    <w:uiPriority w:val="99"/>
    <w:rsid w:val="0071569F"/>
    <w:pPr>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tentintro">
    <w:name w:val="contentintro"/>
    <w:basedOn w:val="DefaultParagraphFont"/>
    <w:uiPriority w:val="99"/>
    <w:rsid w:val="008D596B"/>
  </w:style>
  <w:style w:type="character" w:styleId="Emphasis">
    <w:name w:val="Emphasis"/>
    <w:basedOn w:val="DefaultParagraphFont"/>
    <w:uiPriority w:val="99"/>
    <w:qFormat/>
    <w:rsid w:val="008D596B"/>
    <w:rPr>
      <w:i/>
      <w:iCs/>
    </w:rPr>
  </w:style>
  <w:style w:type="character" w:styleId="Strong">
    <w:name w:val="Strong"/>
    <w:basedOn w:val="DefaultParagraphFont"/>
    <w:uiPriority w:val="99"/>
    <w:qFormat/>
    <w:rsid w:val="00C14B58"/>
    <w:rPr>
      <w:b/>
      <w:bCs/>
    </w:rPr>
  </w:style>
  <w:style w:type="paragraph" w:styleId="TOCHeading">
    <w:name w:val="TOC Heading"/>
    <w:basedOn w:val="Heading1"/>
    <w:next w:val="Normal"/>
    <w:uiPriority w:val="99"/>
    <w:qFormat/>
    <w:rsid w:val="00D126AF"/>
    <w:pPr>
      <w:numPr>
        <w:numId w:val="0"/>
      </w:numPr>
      <w:spacing w:line="276" w:lineRule="auto"/>
      <w:jc w:val="left"/>
      <w:outlineLvl w:val="9"/>
    </w:pPr>
    <w:rPr>
      <w:color w:val="365F91"/>
      <w:sz w:val="28"/>
      <w:szCs w:val="28"/>
      <w:lang w:val="en-US"/>
    </w:rPr>
  </w:style>
  <w:style w:type="paragraph" w:styleId="TOC2">
    <w:name w:val="toc 2"/>
    <w:basedOn w:val="Normal"/>
    <w:next w:val="Normal"/>
    <w:autoRedefine/>
    <w:uiPriority w:val="99"/>
    <w:semiHidden/>
    <w:rsid w:val="00E86368"/>
    <w:pPr>
      <w:tabs>
        <w:tab w:val="left" w:pos="426"/>
        <w:tab w:val="left" w:pos="880"/>
        <w:tab w:val="right" w:leader="dot" w:pos="9062"/>
      </w:tabs>
      <w:spacing w:after="100" w:line="276" w:lineRule="auto"/>
      <w:ind w:left="880" w:hanging="660"/>
      <w:jc w:val="left"/>
    </w:pPr>
    <w:rPr>
      <w:sz w:val="22"/>
      <w:szCs w:val="22"/>
      <w:lang w:val="en-US"/>
    </w:rPr>
  </w:style>
  <w:style w:type="paragraph" w:styleId="TOC1">
    <w:name w:val="toc 1"/>
    <w:basedOn w:val="Normal"/>
    <w:next w:val="Normal"/>
    <w:autoRedefine/>
    <w:uiPriority w:val="99"/>
    <w:semiHidden/>
    <w:rsid w:val="000D7BF0"/>
    <w:pPr>
      <w:tabs>
        <w:tab w:val="left" w:pos="880"/>
        <w:tab w:val="right" w:leader="dot" w:pos="9062"/>
      </w:tabs>
      <w:spacing w:after="100" w:line="276" w:lineRule="auto"/>
      <w:ind w:left="880" w:hanging="880"/>
      <w:jc w:val="left"/>
    </w:pPr>
    <w:rPr>
      <w:sz w:val="22"/>
      <w:szCs w:val="22"/>
      <w:lang w:val="en-US"/>
    </w:rPr>
  </w:style>
  <w:style w:type="paragraph" w:styleId="TOC3">
    <w:name w:val="toc 3"/>
    <w:basedOn w:val="Normal"/>
    <w:next w:val="Normal"/>
    <w:autoRedefine/>
    <w:uiPriority w:val="99"/>
    <w:semiHidden/>
    <w:rsid w:val="00D126AF"/>
    <w:pPr>
      <w:spacing w:after="100" w:line="276" w:lineRule="auto"/>
      <w:ind w:left="440"/>
      <w:jc w:val="left"/>
    </w:pPr>
    <w:rPr>
      <w:sz w:val="22"/>
      <w:szCs w:val="22"/>
      <w:lang w:val="en-US"/>
    </w:rPr>
  </w:style>
  <w:style w:type="paragraph" w:customStyle="1" w:styleId="Default">
    <w:name w:val="Default"/>
    <w:uiPriority w:val="99"/>
    <w:rsid w:val="004A42F0"/>
    <w:pPr>
      <w:autoSpaceDE w:val="0"/>
      <w:autoSpaceDN w:val="0"/>
      <w:adjustRightInd w:val="0"/>
    </w:pPr>
    <w:rPr>
      <w:rFonts w:ascii="EUAlbertina" w:hAnsi="EUAlbertina" w:cs="EUAlbertina"/>
      <w:color w:val="000000"/>
      <w:sz w:val="24"/>
      <w:szCs w:val="24"/>
      <w:lang w:eastAsia="en-US"/>
    </w:rPr>
  </w:style>
  <w:style w:type="character" w:styleId="FollowedHyperlink">
    <w:name w:val="FollowedHyperlink"/>
    <w:basedOn w:val="DefaultParagraphFont"/>
    <w:uiPriority w:val="99"/>
    <w:semiHidden/>
    <w:rsid w:val="00940806"/>
    <w:rPr>
      <w:color w:val="800080"/>
      <w:u w:val="single"/>
    </w:rPr>
  </w:style>
  <w:style w:type="character" w:styleId="CommentReference">
    <w:name w:val="annotation reference"/>
    <w:basedOn w:val="DefaultParagraphFont"/>
    <w:uiPriority w:val="99"/>
    <w:semiHidden/>
    <w:rsid w:val="003726F7"/>
    <w:rPr>
      <w:sz w:val="16"/>
      <w:szCs w:val="16"/>
    </w:rPr>
  </w:style>
  <w:style w:type="paragraph" w:styleId="CommentText">
    <w:name w:val="annotation text"/>
    <w:basedOn w:val="Normal"/>
    <w:link w:val="CommentTextChar"/>
    <w:uiPriority w:val="99"/>
    <w:semiHidden/>
    <w:rsid w:val="003726F7"/>
    <w:pPr>
      <w:spacing w:line="240" w:lineRule="auto"/>
    </w:pPr>
    <w:rPr>
      <w:sz w:val="20"/>
      <w:szCs w:val="20"/>
    </w:rPr>
  </w:style>
  <w:style w:type="character" w:customStyle="1" w:styleId="CommentTextChar">
    <w:name w:val="Comment Text Char"/>
    <w:basedOn w:val="DefaultParagraphFont"/>
    <w:link w:val="CommentText"/>
    <w:uiPriority w:val="99"/>
    <w:semiHidden/>
    <w:locked/>
    <w:rsid w:val="003726F7"/>
    <w:rPr>
      <w:sz w:val="20"/>
      <w:szCs w:val="20"/>
    </w:rPr>
  </w:style>
  <w:style w:type="paragraph" w:styleId="CommentSubject">
    <w:name w:val="annotation subject"/>
    <w:basedOn w:val="CommentText"/>
    <w:next w:val="CommentText"/>
    <w:link w:val="CommentSubjectChar"/>
    <w:uiPriority w:val="99"/>
    <w:semiHidden/>
    <w:rsid w:val="003726F7"/>
    <w:rPr>
      <w:b/>
      <w:bCs/>
    </w:rPr>
  </w:style>
  <w:style w:type="character" w:customStyle="1" w:styleId="CommentSubjectChar">
    <w:name w:val="Comment Subject Char"/>
    <w:basedOn w:val="CommentTextChar"/>
    <w:link w:val="CommentSubject"/>
    <w:uiPriority w:val="99"/>
    <w:semiHidden/>
    <w:locked/>
    <w:rsid w:val="003726F7"/>
    <w:rPr>
      <w:b/>
      <w:bCs/>
    </w:rPr>
  </w:style>
  <w:style w:type="paragraph" w:styleId="Caption">
    <w:name w:val="caption"/>
    <w:basedOn w:val="Normal"/>
    <w:next w:val="Normal"/>
    <w:uiPriority w:val="99"/>
    <w:qFormat/>
    <w:rsid w:val="003726F7"/>
    <w:pPr>
      <w:spacing w:line="240" w:lineRule="auto"/>
    </w:pPr>
    <w:rPr>
      <w:b/>
      <w:bCs/>
      <w:color w:val="4F81BD"/>
      <w:sz w:val="18"/>
      <w:szCs w:val="18"/>
    </w:rPr>
  </w:style>
  <w:style w:type="paragraph" w:styleId="TableofFigures">
    <w:name w:val="table of figures"/>
    <w:basedOn w:val="Normal"/>
    <w:next w:val="Normal"/>
    <w:uiPriority w:val="99"/>
    <w:semiHidden/>
    <w:rsid w:val="003726F7"/>
    <w:pPr>
      <w:spacing w:after="0"/>
    </w:pPr>
  </w:style>
  <w:style w:type="paragraph" w:styleId="Revision">
    <w:name w:val="Revision"/>
    <w:hidden/>
    <w:uiPriority w:val="99"/>
    <w:semiHidden/>
    <w:rsid w:val="003B152D"/>
    <w:rPr>
      <w:sz w:val="24"/>
      <w:szCs w:val="24"/>
      <w:lang w:eastAsia="en-US"/>
    </w:rPr>
  </w:style>
  <w:style w:type="paragraph" w:styleId="TOC4">
    <w:name w:val="toc 4"/>
    <w:basedOn w:val="Normal"/>
    <w:next w:val="Normal"/>
    <w:autoRedefine/>
    <w:uiPriority w:val="99"/>
    <w:semiHidden/>
    <w:rsid w:val="00DE2C45"/>
    <w:pPr>
      <w:spacing w:after="100"/>
      <w:ind w:left="720"/>
    </w:pPr>
  </w:style>
</w:styles>
</file>

<file path=word/webSettings.xml><?xml version="1.0" encoding="utf-8"?>
<w:webSettings xmlns:r="http://schemas.openxmlformats.org/officeDocument/2006/relationships" xmlns:w="http://schemas.openxmlformats.org/wordprocessingml/2006/main">
  <w:divs>
    <w:div w:id="1448348787">
      <w:marLeft w:val="0"/>
      <w:marRight w:val="0"/>
      <w:marTop w:val="0"/>
      <w:marBottom w:val="0"/>
      <w:divBdr>
        <w:top w:val="none" w:sz="0" w:space="0" w:color="auto"/>
        <w:left w:val="none" w:sz="0" w:space="0" w:color="auto"/>
        <w:bottom w:val="none" w:sz="0" w:space="0" w:color="auto"/>
        <w:right w:val="none" w:sz="0" w:space="0" w:color="auto"/>
      </w:divBdr>
      <w:divsChild>
        <w:div w:id="1448348794">
          <w:marLeft w:val="0"/>
          <w:marRight w:val="0"/>
          <w:marTop w:val="0"/>
          <w:marBottom w:val="0"/>
          <w:divBdr>
            <w:top w:val="none" w:sz="0" w:space="0" w:color="auto"/>
            <w:left w:val="none" w:sz="0" w:space="0" w:color="auto"/>
            <w:bottom w:val="none" w:sz="0" w:space="0" w:color="auto"/>
            <w:right w:val="none" w:sz="0" w:space="0" w:color="auto"/>
          </w:divBdr>
        </w:div>
        <w:div w:id="1448348797">
          <w:marLeft w:val="0"/>
          <w:marRight w:val="0"/>
          <w:marTop w:val="0"/>
          <w:marBottom w:val="0"/>
          <w:divBdr>
            <w:top w:val="none" w:sz="0" w:space="0" w:color="auto"/>
            <w:left w:val="none" w:sz="0" w:space="0" w:color="auto"/>
            <w:bottom w:val="none" w:sz="0" w:space="0" w:color="auto"/>
            <w:right w:val="none" w:sz="0" w:space="0" w:color="auto"/>
          </w:divBdr>
        </w:div>
        <w:div w:id="1448348798">
          <w:marLeft w:val="0"/>
          <w:marRight w:val="0"/>
          <w:marTop w:val="0"/>
          <w:marBottom w:val="0"/>
          <w:divBdr>
            <w:top w:val="none" w:sz="0" w:space="0" w:color="auto"/>
            <w:left w:val="none" w:sz="0" w:space="0" w:color="auto"/>
            <w:bottom w:val="none" w:sz="0" w:space="0" w:color="auto"/>
            <w:right w:val="none" w:sz="0" w:space="0" w:color="auto"/>
          </w:divBdr>
        </w:div>
        <w:div w:id="1448348804">
          <w:marLeft w:val="0"/>
          <w:marRight w:val="0"/>
          <w:marTop w:val="0"/>
          <w:marBottom w:val="0"/>
          <w:divBdr>
            <w:top w:val="none" w:sz="0" w:space="0" w:color="auto"/>
            <w:left w:val="none" w:sz="0" w:space="0" w:color="auto"/>
            <w:bottom w:val="none" w:sz="0" w:space="0" w:color="auto"/>
            <w:right w:val="none" w:sz="0" w:space="0" w:color="auto"/>
          </w:divBdr>
        </w:div>
        <w:div w:id="1448348806">
          <w:marLeft w:val="0"/>
          <w:marRight w:val="0"/>
          <w:marTop w:val="0"/>
          <w:marBottom w:val="0"/>
          <w:divBdr>
            <w:top w:val="none" w:sz="0" w:space="0" w:color="auto"/>
            <w:left w:val="none" w:sz="0" w:space="0" w:color="auto"/>
            <w:bottom w:val="none" w:sz="0" w:space="0" w:color="auto"/>
            <w:right w:val="none" w:sz="0" w:space="0" w:color="auto"/>
          </w:divBdr>
        </w:div>
      </w:divsChild>
    </w:div>
    <w:div w:id="1448348788">
      <w:marLeft w:val="0"/>
      <w:marRight w:val="0"/>
      <w:marTop w:val="0"/>
      <w:marBottom w:val="0"/>
      <w:divBdr>
        <w:top w:val="none" w:sz="0" w:space="0" w:color="auto"/>
        <w:left w:val="none" w:sz="0" w:space="0" w:color="auto"/>
        <w:bottom w:val="none" w:sz="0" w:space="0" w:color="auto"/>
        <w:right w:val="none" w:sz="0" w:space="0" w:color="auto"/>
      </w:divBdr>
    </w:div>
    <w:div w:id="1448348789">
      <w:marLeft w:val="0"/>
      <w:marRight w:val="0"/>
      <w:marTop w:val="0"/>
      <w:marBottom w:val="0"/>
      <w:divBdr>
        <w:top w:val="none" w:sz="0" w:space="0" w:color="auto"/>
        <w:left w:val="none" w:sz="0" w:space="0" w:color="auto"/>
        <w:bottom w:val="none" w:sz="0" w:space="0" w:color="auto"/>
        <w:right w:val="none" w:sz="0" w:space="0" w:color="auto"/>
      </w:divBdr>
    </w:div>
    <w:div w:id="1448348790">
      <w:marLeft w:val="0"/>
      <w:marRight w:val="0"/>
      <w:marTop w:val="0"/>
      <w:marBottom w:val="0"/>
      <w:divBdr>
        <w:top w:val="none" w:sz="0" w:space="0" w:color="auto"/>
        <w:left w:val="none" w:sz="0" w:space="0" w:color="auto"/>
        <w:bottom w:val="none" w:sz="0" w:space="0" w:color="auto"/>
        <w:right w:val="none" w:sz="0" w:space="0" w:color="auto"/>
      </w:divBdr>
    </w:div>
    <w:div w:id="1448348791">
      <w:marLeft w:val="0"/>
      <w:marRight w:val="0"/>
      <w:marTop w:val="0"/>
      <w:marBottom w:val="0"/>
      <w:divBdr>
        <w:top w:val="none" w:sz="0" w:space="0" w:color="auto"/>
        <w:left w:val="none" w:sz="0" w:space="0" w:color="auto"/>
        <w:bottom w:val="none" w:sz="0" w:space="0" w:color="auto"/>
        <w:right w:val="none" w:sz="0" w:space="0" w:color="auto"/>
      </w:divBdr>
    </w:div>
    <w:div w:id="1448348792">
      <w:marLeft w:val="0"/>
      <w:marRight w:val="0"/>
      <w:marTop w:val="0"/>
      <w:marBottom w:val="0"/>
      <w:divBdr>
        <w:top w:val="none" w:sz="0" w:space="0" w:color="auto"/>
        <w:left w:val="none" w:sz="0" w:space="0" w:color="auto"/>
        <w:bottom w:val="none" w:sz="0" w:space="0" w:color="auto"/>
        <w:right w:val="none" w:sz="0" w:space="0" w:color="auto"/>
      </w:divBdr>
    </w:div>
    <w:div w:id="1448348793">
      <w:marLeft w:val="0"/>
      <w:marRight w:val="0"/>
      <w:marTop w:val="0"/>
      <w:marBottom w:val="0"/>
      <w:divBdr>
        <w:top w:val="none" w:sz="0" w:space="0" w:color="auto"/>
        <w:left w:val="none" w:sz="0" w:space="0" w:color="auto"/>
        <w:bottom w:val="none" w:sz="0" w:space="0" w:color="auto"/>
        <w:right w:val="none" w:sz="0" w:space="0" w:color="auto"/>
      </w:divBdr>
    </w:div>
    <w:div w:id="1448348795">
      <w:marLeft w:val="0"/>
      <w:marRight w:val="0"/>
      <w:marTop w:val="0"/>
      <w:marBottom w:val="0"/>
      <w:divBdr>
        <w:top w:val="none" w:sz="0" w:space="0" w:color="auto"/>
        <w:left w:val="none" w:sz="0" w:space="0" w:color="auto"/>
        <w:bottom w:val="none" w:sz="0" w:space="0" w:color="auto"/>
        <w:right w:val="none" w:sz="0" w:space="0" w:color="auto"/>
      </w:divBdr>
    </w:div>
    <w:div w:id="1448348796">
      <w:marLeft w:val="0"/>
      <w:marRight w:val="0"/>
      <w:marTop w:val="0"/>
      <w:marBottom w:val="0"/>
      <w:divBdr>
        <w:top w:val="none" w:sz="0" w:space="0" w:color="auto"/>
        <w:left w:val="none" w:sz="0" w:space="0" w:color="auto"/>
        <w:bottom w:val="none" w:sz="0" w:space="0" w:color="auto"/>
        <w:right w:val="none" w:sz="0" w:space="0" w:color="auto"/>
      </w:divBdr>
    </w:div>
    <w:div w:id="1448348799">
      <w:marLeft w:val="0"/>
      <w:marRight w:val="0"/>
      <w:marTop w:val="0"/>
      <w:marBottom w:val="0"/>
      <w:divBdr>
        <w:top w:val="none" w:sz="0" w:space="0" w:color="auto"/>
        <w:left w:val="none" w:sz="0" w:space="0" w:color="auto"/>
        <w:bottom w:val="none" w:sz="0" w:space="0" w:color="auto"/>
        <w:right w:val="none" w:sz="0" w:space="0" w:color="auto"/>
      </w:divBdr>
    </w:div>
    <w:div w:id="1448348800">
      <w:marLeft w:val="0"/>
      <w:marRight w:val="0"/>
      <w:marTop w:val="0"/>
      <w:marBottom w:val="0"/>
      <w:divBdr>
        <w:top w:val="none" w:sz="0" w:space="0" w:color="auto"/>
        <w:left w:val="none" w:sz="0" w:space="0" w:color="auto"/>
        <w:bottom w:val="none" w:sz="0" w:space="0" w:color="auto"/>
        <w:right w:val="none" w:sz="0" w:space="0" w:color="auto"/>
      </w:divBdr>
    </w:div>
    <w:div w:id="1448348801">
      <w:marLeft w:val="0"/>
      <w:marRight w:val="0"/>
      <w:marTop w:val="0"/>
      <w:marBottom w:val="0"/>
      <w:divBdr>
        <w:top w:val="none" w:sz="0" w:space="0" w:color="auto"/>
        <w:left w:val="none" w:sz="0" w:space="0" w:color="auto"/>
        <w:bottom w:val="none" w:sz="0" w:space="0" w:color="auto"/>
        <w:right w:val="none" w:sz="0" w:space="0" w:color="auto"/>
      </w:divBdr>
    </w:div>
    <w:div w:id="1448348802">
      <w:marLeft w:val="0"/>
      <w:marRight w:val="0"/>
      <w:marTop w:val="0"/>
      <w:marBottom w:val="0"/>
      <w:divBdr>
        <w:top w:val="none" w:sz="0" w:space="0" w:color="auto"/>
        <w:left w:val="none" w:sz="0" w:space="0" w:color="auto"/>
        <w:bottom w:val="none" w:sz="0" w:space="0" w:color="auto"/>
        <w:right w:val="none" w:sz="0" w:space="0" w:color="auto"/>
      </w:divBdr>
    </w:div>
    <w:div w:id="1448348803">
      <w:marLeft w:val="0"/>
      <w:marRight w:val="0"/>
      <w:marTop w:val="0"/>
      <w:marBottom w:val="0"/>
      <w:divBdr>
        <w:top w:val="none" w:sz="0" w:space="0" w:color="auto"/>
        <w:left w:val="none" w:sz="0" w:space="0" w:color="auto"/>
        <w:bottom w:val="none" w:sz="0" w:space="0" w:color="auto"/>
        <w:right w:val="none" w:sz="0" w:space="0" w:color="auto"/>
      </w:divBdr>
    </w:div>
    <w:div w:id="144834880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emf"/><Relationship Id="rId47" Type="http://schemas.openxmlformats.org/officeDocument/2006/relationships/image" Target="media/image39.png"/><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image" Target="media/image55.emf"/><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ukfsc.co.uk" TargetMode="External"/><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hyperlink" Target="http://www.paris.icao.int/news/pdf/080423%20-%20Point%20de%20Presse%20ISIS.pdf"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emf"/><Relationship Id="rId57" Type="http://schemas.openxmlformats.org/officeDocument/2006/relationships/image" Target="media/image49.emf"/><Relationship Id="rId61" Type="http://schemas.openxmlformats.org/officeDocument/2006/relationships/image" Target="media/image53.emf"/><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hyperlink" Target="http://ec.europa.eu/transport/index_en.ht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png"/><Relationship Id="rId56" Type="http://schemas.openxmlformats.org/officeDocument/2006/relationships/image" Target="media/image48.emf"/><Relationship Id="rId64" Type="http://schemas.openxmlformats.org/officeDocument/2006/relationships/hyperlink" Target="http://ebookbrowse.com/atm-stakeholders-forum-ses-posted-june-2010-pdf-d44957989"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hyperlink" Target="http://www.crocontrol.hr" TargetMode="External"/><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99348D-DC83-4ED7-9C86-29A14AE4A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96</Pages>
  <Words>23878</Words>
  <Characters>136110</Characters>
  <Application>Microsoft Office Word</Application>
  <DocSecurity>0</DocSecurity>
  <Lines>1134</Lines>
  <Paragraphs>319</Paragraphs>
  <ScaleCrop>false</ScaleCrop>
  <HeadingPairs>
    <vt:vector size="2" baseType="variant">
      <vt:variant>
        <vt:lpstr>Title</vt:lpstr>
      </vt:variant>
      <vt:variant>
        <vt:i4>1</vt:i4>
      </vt:variant>
    </vt:vector>
  </HeadingPairs>
  <TitlesOfParts>
    <vt:vector size="1" baseType="lpstr">
      <vt:lpstr/>
    </vt:vector>
  </TitlesOfParts>
  <Company>FPZ</Company>
  <LinksUpToDate>false</LinksUpToDate>
  <CharactersWithSpaces>159669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Tihomir</dc:creator>
  <cp:lastModifiedBy>ssteiner</cp:lastModifiedBy>
  <cp:revision>2</cp:revision>
  <cp:lastPrinted>2011-06-12T16:45:00Z</cp:lastPrinted>
  <dcterms:created xsi:type="dcterms:W3CDTF">2011-11-11T15:50:00Z</dcterms:created>
  <dcterms:modified xsi:type="dcterms:W3CDTF">2011-11-11T15:50:00Z</dcterms:modified>
</cp:coreProperties>
</file>