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1F4" w:rsidRDefault="001D61F4" w:rsidP="00D57775">
      <w:pPr>
        <w:spacing w:line="240" w:lineRule="auto"/>
        <w:jc w:val="center"/>
      </w:pPr>
      <w:r>
        <w:t>SVEUČILIŠTE U RIJECI</w:t>
      </w:r>
    </w:p>
    <w:p w:rsidR="001D61F4" w:rsidRDefault="001D61F4" w:rsidP="00D57775">
      <w:pPr>
        <w:spacing w:line="240" w:lineRule="auto"/>
        <w:jc w:val="center"/>
      </w:pPr>
      <w:r>
        <w:t>POMORSKI FAKULTET U RIJECI</w:t>
      </w: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pPr>
      <w:r>
        <w:t>TINA ŽIGANTO, MARIO ŠESTAN, TOMISLAV VUKMANOVIĆ</w:t>
      </w:r>
    </w:p>
    <w:p w:rsidR="001D61F4" w:rsidRDefault="001D61F4" w:rsidP="00D57775">
      <w:pPr>
        <w:spacing w:line="240" w:lineRule="auto"/>
        <w:jc w:val="center"/>
        <w:rPr>
          <w:b/>
          <w:sz w:val="32"/>
          <w:szCs w:val="32"/>
        </w:rPr>
      </w:pPr>
      <w:r>
        <w:rPr>
          <w:b/>
          <w:sz w:val="32"/>
          <w:szCs w:val="32"/>
        </w:rPr>
        <w:t xml:space="preserve">UTJECAJ ŽELJEZNIČKE </w:t>
      </w:r>
    </w:p>
    <w:p w:rsidR="001D61F4" w:rsidRDefault="001D61F4" w:rsidP="00D57775">
      <w:pPr>
        <w:spacing w:line="240" w:lineRule="auto"/>
        <w:jc w:val="center"/>
        <w:rPr>
          <w:b/>
          <w:sz w:val="32"/>
          <w:szCs w:val="32"/>
        </w:rPr>
      </w:pPr>
      <w:r>
        <w:rPr>
          <w:b/>
          <w:sz w:val="32"/>
          <w:szCs w:val="32"/>
        </w:rPr>
        <w:t>INFRASTRUKTURE NA OKOLIŠ</w:t>
      </w:r>
    </w:p>
    <w:p w:rsidR="001D61F4" w:rsidRDefault="001D61F4" w:rsidP="00D57775">
      <w:pPr>
        <w:spacing w:line="240" w:lineRule="auto"/>
        <w:jc w:val="center"/>
      </w:pPr>
      <w:r>
        <w:t>SEMINARSKI RAD</w:t>
      </w: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pPr>
    </w:p>
    <w:p w:rsidR="00B92729" w:rsidRDefault="00B92729" w:rsidP="00D57775">
      <w:pPr>
        <w:spacing w:line="240" w:lineRule="auto"/>
        <w:jc w:val="center"/>
      </w:pPr>
    </w:p>
    <w:p w:rsidR="00B92729" w:rsidRDefault="00B92729" w:rsidP="00D57775">
      <w:pPr>
        <w:spacing w:line="240" w:lineRule="auto"/>
        <w:jc w:val="center"/>
      </w:pPr>
    </w:p>
    <w:p w:rsidR="00B92729" w:rsidRDefault="00B92729" w:rsidP="00D57775">
      <w:pPr>
        <w:spacing w:line="240" w:lineRule="auto"/>
        <w:jc w:val="center"/>
      </w:pPr>
    </w:p>
    <w:p w:rsidR="00B92729" w:rsidRDefault="00B92729" w:rsidP="00D57775">
      <w:pPr>
        <w:spacing w:line="240" w:lineRule="auto"/>
        <w:jc w:val="center"/>
      </w:pPr>
    </w:p>
    <w:p w:rsidR="00B92729" w:rsidRDefault="00B92729" w:rsidP="00D57775">
      <w:pPr>
        <w:spacing w:line="240" w:lineRule="auto"/>
        <w:jc w:val="center"/>
      </w:pPr>
    </w:p>
    <w:p w:rsidR="00B92729" w:rsidRDefault="00B92729" w:rsidP="00D57775">
      <w:pPr>
        <w:spacing w:line="240" w:lineRule="auto"/>
        <w:jc w:val="center"/>
      </w:pPr>
    </w:p>
    <w:p w:rsidR="00B92729" w:rsidRDefault="00B92729" w:rsidP="00D57775">
      <w:pPr>
        <w:spacing w:line="240" w:lineRule="auto"/>
        <w:jc w:val="center"/>
      </w:pPr>
    </w:p>
    <w:p w:rsidR="00B92729" w:rsidRDefault="00B92729" w:rsidP="00D57775">
      <w:pPr>
        <w:spacing w:line="240" w:lineRule="auto"/>
        <w:jc w:val="center"/>
      </w:pPr>
    </w:p>
    <w:p w:rsidR="00B92729" w:rsidRDefault="00B92729" w:rsidP="00D57775">
      <w:pPr>
        <w:spacing w:line="240" w:lineRule="auto"/>
        <w:jc w:val="center"/>
      </w:pPr>
    </w:p>
    <w:p w:rsidR="00B92729" w:rsidRDefault="00B92729" w:rsidP="00D57775">
      <w:pPr>
        <w:spacing w:line="240" w:lineRule="auto"/>
        <w:jc w:val="center"/>
      </w:pPr>
    </w:p>
    <w:p w:rsidR="00B92729" w:rsidRDefault="00B92729" w:rsidP="00D57775">
      <w:pPr>
        <w:spacing w:line="240" w:lineRule="auto"/>
        <w:jc w:val="center"/>
      </w:pPr>
    </w:p>
    <w:p w:rsidR="00B92729" w:rsidRDefault="00B92729" w:rsidP="00D57775">
      <w:pPr>
        <w:spacing w:line="240" w:lineRule="auto"/>
        <w:jc w:val="center"/>
      </w:pPr>
    </w:p>
    <w:p w:rsidR="00B92729" w:rsidRDefault="00B92729" w:rsidP="00D57775">
      <w:pPr>
        <w:spacing w:line="240" w:lineRule="auto"/>
        <w:jc w:val="center"/>
      </w:pPr>
    </w:p>
    <w:p w:rsidR="00B92729" w:rsidRDefault="00B92729" w:rsidP="00D57775">
      <w:pPr>
        <w:spacing w:line="240" w:lineRule="auto"/>
        <w:jc w:val="center"/>
      </w:pPr>
    </w:p>
    <w:p w:rsidR="00B92729" w:rsidRDefault="00B92729" w:rsidP="00D57775">
      <w:pPr>
        <w:spacing w:line="240" w:lineRule="auto"/>
        <w:jc w:val="center"/>
      </w:pPr>
    </w:p>
    <w:p w:rsidR="00B92729" w:rsidRDefault="00B92729" w:rsidP="00D57775">
      <w:pPr>
        <w:spacing w:line="240" w:lineRule="auto"/>
        <w:jc w:val="center"/>
      </w:pPr>
    </w:p>
    <w:p w:rsidR="00B92729" w:rsidRDefault="00B92729" w:rsidP="00D57775">
      <w:pPr>
        <w:spacing w:line="240" w:lineRule="auto"/>
        <w:jc w:val="center"/>
      </w:pPr>
    </w:p>
    <w:p w:rsidR="001D61F4" w:rsidRDefault="00D57775" w:rsidP="00D57775">
      <w:pPr>
        <w:spacing w:line="240" w:lineRule="auto"/>
        <w:jc w:val="center"/>
      </w:pPr>
      <w:r>
        <w:t>Rijeka, 2011</w:t>
      </w:r>
      <w:r w:rsidR="001D61F4">
        <w:t>.</w:t>
      </w:r>
    </w:p>
    <w:p w:rsidR="001D61F4" w:rsidRDefault="001D61F4" w:rsidP="00D57775">
      <w:pPr>
        <w:spacing w:line="240" w:lineRule="auto"/>
        <w:jc w:val="center"/>
      </w:pPr>
      <w:r>
        <w:lastRenderedPageBreak/>
        <w:t>SVEUČILIŠTE U RIJECI</w:t>
      </w:r>
    </w:p>
    <w:p w:rsidR="001D61F4" w:rsidRDefault="001D61F4" w:rsidP="00D57775">
      <w:pPr>
        <w:spacing w:line="240" w:lineRule="auto"/>
        <w:jc w:val="center"/>
      </w:pPr>
      <w:r>
        <w:t>POMORSKI FAKULTET U RIJECI</w:t>
      </w: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pPr>
    </w:p>
    <w:p w:rsidR="001D61F4" w:rsidRDefault="001D61F4" w:rsidP="00D57775">
      <w:pPr>
        <w:spacing w:line="240" w:lineRule="auto"/>
        <w:jc w:val="center"/>
        <w:rPr>
          <w:b/>
          <w:sz w:val="32"/>
          <w:szCs w:val="32"/>
        </w:rPr>
      </w:pPr>
      <w:r>
        <w:rPr>
          <w:b/>
          <w:sz w:val="32"/>
          <w:szCs w:val="32"/>
        </w:rPr>
        <w:t>UTJECAJ ŽELJEZNIČKE</w:t>
      </w:r>
    </w:p>
    <w:p w:rsidR="001D61F4" w:rsidRDefault="001D61F4" w:rsidP="00D57775">
      <w:pPr>
        <w:spacing w:line="240" w:lineRule="auto"/>
        <w:jc w:val="center"/>
        <w:rPr>
          <w:b/>
          <w:sz w:val="32"/>
          <w:szCs w:val="32"/>
        </w:rPr>
      </w:pPr>
      <w:r>
        <w:rPr>
          <w:b/>
          <w:sz w:val="32"/>
          <w:szCs w:val="32"/>
        </w:rPr>
        <w:t>INFRASTRUKTURE NA OKOLIŠ</w:t>
      </w:r>
    </w:p>
    <w:p w:rsidR="001D61F4" w:rsidRDefault="002849F0" w:rsidP="00D57775">
      <w:pPr>
        <w:spacing w:line="240" w:lineRule="auto"/>
        <w:jc w:val="center"/>
      </w:pPr>
      <w:r>
        <w:t>SEMINARSKI RAD</w:t>
      </w:r>
    </w:p>
    <w:p w:rsidR="001D61F4" w:rsidRDefault="001D61F4" w:rsidP="00D57775">
      <w:pPr>
        <w:spacing w:line="240" w:lineRule="auto"/>
      </w:pPr>
    </w:p>
    <w:p w:rsidR="001D61F4" w:rsidRDefault="001D61F4" w:rsidP="00D57775">
      <w:pPr>
        <w:spacing w:line="240" w:lineRule="auto"/>
      </w:pPr>
    </w:p>
    <w:p w:rsidR="001D61F4" w:rsidRDefault="001D61F4" w:rsidP="00D57775">
      <w:pPr>
        <w:spacing w:line="240" w:lineRule="auto"/>
      </w:pPr>
    </w:p>
    <w:p w:rsidR="001D61F4" w:rsidRDefault="001D61F4" w:rsidP="00D57775">
      <w:pPr>
        <w:spacing w:line="240" w:lineRule="auto"/>
      </w:pPr>
    </w:p>
    <w:p w:rsidR="001D61F4" w:rsidRDefault="001D61F4" w:rsidP="00D57775">
      <w:pPr>
        <w:spacing w:line="240" w:lineRule="auto"/>
      </w:pPr>
    </w:p>
    <w:p w:rsidR="001D61F4" w:rsidRDefault="001D61F4" w:rsidP="00D57775">
      <w:pPr>
        <w:spacing w:line="240" w:lineRule="auto"/>
      </w:pPr>
    </w:p>
    <w:p w:rsidR="001D61F4" w:rsidRDefault="001D61F4" w:rsidP="00D57775">
      <w:pPr>
        <w:spacing w:line="240" w:lineRule="auto"/>
      </w:pPr>
    </w:p>
    <w:p w:rsidR="001D61F4" w:rsidRDefault="001D61F4" w:rsidP="00D57775">
      <w:pPr>
        <w:spacing w:line="240" w:lineRule="auto"/>
      </w:pPr>
    </w:p>
    <w:p w:rsidR="00B92729" w:rsidRDefault="00B92729" w:rsidP="00D57775">
      <w:pPr>
        <w:spacing w:line="240" w:lineRule="auto"/>
      </w:pPr>
    </w:p>
    <w:p w:rsidR="00B92729" w:rsidRDefault="00B92729" w:rsidP="00D57775">
      <w:pPr>
        <w:spacing w:line="240" w:lineRule="auto"/>
      </w:pPr>
    </w:p>
    <w:p w:rsidR="00B92729" w:rsidRDefault="00B92729" w:rsidP="00D57775">
      <w:pPr>
        <w:spacing w:line="240" w:lineRule="auto"/>
      </w:pPr>
    </w:p>
    <w:p w:rsidR="00B92729" w:rsidRDefault="00B92729" w:rsidP="00D57775">
      <w:pPr>
        <w:spacing w:line="240" w:lineRule="auto"/>
      </w:pPr>
    </w:p>
    <w:p w:rsidR="00B92729" w:rsidRDefault="00B92729" w:rsidP="00D57775">
      <w:pPr>
        <w:spacing w:line="240" w:lineRule="auto"/>
      </w:pPr>
    </w:p>
    <w:p w:rsidR="00B92729" w:rsidRDefault="00B92729" w:rsidP="00D57775">
      <w:pPr>
        <w:spacing w:line="240" w:lineRule="auto"/>
      </w:pPr>
    </w:p>
    <w:p w:rsidR="00B92729" w:rsidRDefault="00B92729" w:rsidP="00D57775">
      <w:pPr>
        <w:spacing w:line="240" w:lineRule="auto"/>
      </w:pPr>
    </w:p>
    <w:p w:rsidR="00B92729" w:rsidRDefault="00B92729" w:rsidP="00D57775">
      <w:pPr>
        <w:spacing w:line="240" w:lineRule="auto"/>
      </w:pPr>
    </w:p>
    <w:p w:rsidR="00B92729" w:rsidRDefault="00B92729" w:rsidP="00D57775">
      <w:pPr>
        <w:spacing w:line="240" w:lineRule="auto"/>
      </w:pPr>
    </w:p>
    <w:p w:rsidR="00B92729" w:rsidRDefault="00B92729" w:rsidP="00D57775">
      <w:pPr>
        <w:spacing w:line="240" w:lineRule="auto"/>
      </w:pPr>
    </w:p>
    <w:p w:rsidR="00B92729" w:rsidRDefault="00B92729" w:rsidP="00D57775">
      <w:pPr>
        <w:spacing w:line="240" w:lineRule="auto"/>
      </w:pPr>
    </w:p>
    <w:p w:rsidR="00B92729" w:rsidRDefault="00B92729" w:rsidP="00D57775">
      <w:pPr>
        <w:spacing w:line="240" w:lineRule="auto"/>
      </w:pPr>
    </w:p>
    <w:p w:rsidR="00B92729" w:rsidRDefault="00B92729" w:rsidP="00D57775">
      <w:pPr>
        <w:spacing w:line="240" w:lineRule="auto"/>
      </w:pPr>
    </w:p>
    <w:p w:rsidR="00B92729" w:rsidRDefault="00B92729" w:rsidP="00D57775">
      <w:pPr>
        <w:spacing w:line="240" w:lineRule="auto"/>
      </w:pPr>
    </w:p>
    <w:p w:rsidR="00B92729" w:rsidRDefault="00B92729" w:rsidP="00D57775">
      <w:pPr>
        <w:spacing w:line="240" w:lineRule="auto"/>
      </w:pPr>
    </w:p>
    <w:p w:rsidR="00B92729" w:rsidRDefault="00B92729" w:rsidP="00D57775">
      <w:pPr>
        <w:spacing w:line="240" w:lineRule="auto"/>
      </w:pPr>
    </w:p>
    <w:p w:rsidR="00B92729" w:rsidRDefault="00B92729" w:rsidP="00D57775">
      <w:pPr>
        <w:spacing w:line="240" w:lineRule="auto"/>
      </w:pPr>
    </w:p>
    <w:p w:rsidR="001D61F4" w:rsidRDefault="001D61F4" w:rsidP="00D57775">
      <w:pPr>
        <w:spacing w:line="240" w:lineRule="auto"/>
      </w:pPr>
      <w:r>
        <w:t>Predmet: Upravljanje dobavnim lancem</w:t>
      </w:r>
    </w:p>
    <w:p w:rsidR="001D61F4" w:rsidRDefault="001D61F4" w:rsidP="00D57775">
      <w:pPr>
        <w:spacing w:line="240" w:lineRule="auto"/>
      </w:pPr>
      <w:r>
        <w:t>Mentor: prof. dr. sc Dragan Čišić</w:t>
      </w:r>
    </w:p>
    <w:p w:rsidR="001D61F4" w:rsidRDefault="00D57775" w:rsidP="00D57775">
      <w:pPr>
        <w:spacing w:line="240" w:lineRule="auto"/>
      </w:pPr>
      <w:r>
        <w:t xml:space="preserve">Studenti: Tina Žiganto / </w:t>
      </w:r>
      <w:r w:rsidR="00CE3332">
        <w:t>0112026512</w:t>
      </w:r>
    </w:p>
    <w:p w:rsidR="001D61F4" w:rsidRDefault="00D57775" w:rsidP="00D57775">
      <w:pPr>
        <w:spacing w:line="240" w:lineRule="auto"/>
      </w:pPr>
      <w:r>
        <w:tab/>
        <w:t xml:space="preserve">    Mario Šestan / </w:t>
      </w:r>
      <w:r w:rsidR="00670EFA">
        <w:t>0070054783</w:t>
      </w:r>
    </w:p>
    <w:p w:rsidR="001D61F4" w:rsidRDefault="00D57775" w:rsidP="00D57775">
      <w:pPr>
        <w:spacing w:line="240" w:lineRule="auto"/>
      </w:pPr>
      <w:r>
        <w:tab/>
        <w:t xml:space="preserve">    Tomislav Vukmanović / 0112024406</w:t>
      </w:r>
    </w:p>
    <w:p w:rsidR="00075D19" w:rsidRDefault="00D57775" w:rsidP="00D57775">
      <w:pPr>
        <w:spacing w:line="240" w:lineRule="auto"/>
      </w:pPr>
      <w:r>
        <w:t>Smjer: LMPP</w:t>
      </w:r>
    </w:p>
    <w:p w:rsidR="00075D19" w:rsidRDefault="00075D19" w:rsidP="00D57775">
      <w:pPr>
        <w:spacing w:line="240" w:lineRule="auto"/>
      </w:pPr>
    </w:p>
    <w:p w:rsidR="00D57775" w:rsidRDefault="00D57775" w:rsidP="00D57775">
      <w:pPr>
        <w:spacing w:line="240" w:lineRule="auto"/>
      </w:pPr>
    </w:p>
    <w:p w:rsidR="006C3675" w:rsidRDefault="00D57775" w:rsidP="004B35C2">
      <w:pPr>
        <w:spacing w:line="240" w:lineRule="auto"/>
        <w:jc w:val="center"/>
      </w:pPr>
      <w:r>
        <w:t>Rijeka, 2011</w:t>
      </w:r>
      <w:r w:rsidR="00075D19">
        <w:t>.</w:t>
      </w:r>
    </w:p>
    <w:sdt>
      <w:sdtPr>
        <w:rPr>
          <w:rFonts w:ascii="Times New Roman" w:eastAsiaTheme="minorHAnsi" w:hAnsi="Times New Roman" w:cs="Times New Roman"/>
          <w:b w:val="0"/>
          <w:bCs w:val="0"/>
          <w:color w:val="auto"/>
          <w:sz w:val="24"/>
          <w:szCs w:val="22"/>
          <w:lang w:val="hr-HR"/>
        </w:rPr>
        <w:id w:val="22196132"/>
        <w:docPartObj>
          <w:docPartGallery w:val="Table of Contents"/>
          <w:docPartUnique/>
        </w:docPartObj>
      </w:sdtPr>
      <w:sdtEndPr>
        <w:rPr>
          <w:rFonts w:cstheme="minorBidi"/>
        </w:rPr>
      </w:sdtEndPr>
      <w:sdtContent>
        <w:p w:rsidR="006C3675" w:rsidRPr="006C3675" w:rsidRDefault="006C3675">
          <w:pPr>
            <w:pStyle w:val="TOCHeading"/>
            <w:rPr>
              <w:rFonts w:ascii="Times New Roman" w:hAnsi="Times New Roman" w:cs="Times New Roman"/>
              <w:color w:val="auto"/>
            </w:rPr>
          </w:pPr>
          <w:r w:rsidRPr="006C3675">
            <w:rPr>
              <w:rFonts w:ascii="Times New Roman" w:hAnsi="Times New Roman" w:cs="Times New Roman"/>
              <w:color w:val="auto"/>
            </w:rPr>
            <w:t>Sadržaj:</w:t>
          </w:r>
        </w:p>
        <w:p w:rsidR="006C3675" w:rsidRPr="006C3675" w:rsidRDefault="006C3675" w:rsidP="006C3675">
          <w:pPr>
            <w:rPr>
              <w:lang w:val="en-US"/>
            </w:rPr>
          </w:pPr>
        </w:p>
        <w:p w:rsidR="006C3675" w:rsidRDefault="00CC2DF5" w:rsidP="006C3675">
          <w:pPr>
            <w:pStyle w:val="TOC1"/>
            <w:tabs>
              <w:tab w:val="left" w:pos="480"/>
              <w:tab w:val="right" w:leader="dot" w:pos="9062"/>
            </w:tabs>
            <w:spacing w:line="240" w:lineRule="auto"/>
            <w:rPr>
              <w:rStyle w:val="Hyperlink"/>
              <w:noProof/>
            </w:rPr>
          </w:pPr>
          <w:r>
            <w:fldChar w:fldCharType="begin"/>
          </w:r>
          <w:r w:rsidR="006C3675">
            <w:instrText xml:space="preserve"> TOC \o "1-3" \h \z \u </w:instrText>
          </w:r>
          <w:r>
            <w:fldChar w:fldCharType="separate"/>
          </w:r>
          <w:hyperlink w:anchor="_Toc283404978" w:history="1">
            <w:r w:rsidR="006C3675" w:rsidRPr="00676D72">
              <w:rPr>
                <w:rStyle w:val="Hyperlink"/>
                <w:noProof/>
              </w:rPr>
              <w:t>1.</w:t>
            </w:r>
            <w:r w:rsidR="006C3675">
              <w:rPr>
                <w:rFonts w:asciiTheme="minorHAnsi" w:eastAsiaTheme="minorEastAsia" w:hAnsiTheme="minorHAnsi"/>
                <w:noProof/>
                <w:sz w:val="22"/>
                <w:lang w:eastAsia="hr-HR"/>
              </w:rPr>
              <w:tab/>
            </w:r>
            <w:r w:rsidR="006C3675" w:rsidRPr="00676D72">
              <w:rPr>
                <w:rStyle w:val="Hyperlink"/>
                <w:noProof/>
              </w:rPr>
              <w:t>UVOD</w:t>
            </w:r>
            <w:r w:rsidR="006C3675">
              <w:rPr>
                <w:noProof/>
                <w:webHidden/>
              </w:rPr>
              <w:tab/>
            </w:r>
            <w:r>
              <w:rPr>
                <w:noProof/>
                <w:webHidden/>
              </w:rPr>
              <w:fldChar w:fldCharType="begin"/>
            </w:r>
            <w:r w:rsidR="006C3675">
              <w:rPr>
                <w:noProof/>
                <w:webHidden/>
              </w:rPr>
              <w:instrText xml:space="preserve"> PAGEREF _Toc283404978 \h </w:instrText>
            </w:r>
            <w:r>
              <w:rPr>
                <w:noProof/>
                <w:webHidden/>
              </w:rPr>
            </w:r>
            <w:r>
              <w:rPr>
                <w:noProof/>
                <w:webHidden/>
              </w:rPr>
              <w:fldChar w:fldCharType="separate"/>
            </w:r>
            <w:r w:rsidR="006C3675">
              <w:rPr>
                <w:noProof/>
                <w:webHidden/>
              </w:rPr>
              <w:t>4</w:t>
            </w:r>
            <w:r>
              <w:rPr>
                <w:noProof/>
                <w:webHidden/>
              </w:rPr>
              <w:fldChar w:fldCharType="end"/>
            </w:r>
          </w:hyperlink>
        </w:p>
        <w:p w:rsidR="006C3675" w:rsidRPr="006C3675" w:rsidRDefault="006C3675" w:rsidP="006C3675"/>
        <w:p w:rsidR="006C3675" w:rsidRPr="006C3675" w:rsidRDefault="00CC2DF5" w:rsidP="006C3675">
          <w:pPr>
            <w:pStyle w:val="TOC1"/>
            <w:tabs>
              <w:tab w:val="right" w:leader="dot" w:pos="9062"/>
            </w:tabs>
            <w:spacing w:line="240" w:lineRule="auto"/>
            <w:rPr>
              <w:noProof/>
              <w:color w:val="0000FF" w:themeColor="hyperlink"/>
              <w:u w:val="single"/>
            </w:rPr>
          </w:pPr>
          <w:hyperlink w:anchor="_Toc283404979" w:history="1">
            <w:r w:rsidR="006C3675" w:rsidRPr="00676D72">
              <w:rPr>
                <w:rStyle w:val="Hyperlink"/>
                <w:noProof/>
              </w:rPr>
              <w:t>2. RELEVANTNE ZNAČAJKE O ŽELJEZNIČKOM PROMETU I OKOLIŠU</w:t>
            </w:r>
            <w:r w:rsidR="006C3675">
              <w:rPr>
                <w:noProof/>
                <w:webHidden/>
              </w:rPr>
              <w:tab/>
            </w:r>
            <w:r>
              <w:rPr>
                <w:noProof/>
                <w:webHidden/>
              </w:rPr>
              <w:fldChar w:fldCharType="begin"/>
            </w:r>
            <w:r w:rsidR="006C3675">
              <w:rPr>
                <w:noProof/>
                <w:webHidden/>
              </w:rPr>
              <w:instrText xml:space="preserve"> PAGEREF _Toc283404979 \h </w:instrText>
            </w:r>
            <w:r>
              <w:rPr>
                <w:noProof/>
                <w:webHidden/>
              </w:rPr>
            </w:r>
            <w:r>
              <w:rPr>
                <w:noProof/>
                <w:webHidden/>
              </w:rPr>
              <w:fldChar w:fldCharType="separate"/>
            </w:r>
            <w:r w:rsidR="006C3675">
              <w:rPr>
                <w:noProof/>
                <w:webHidden/>
              </w:rPr>
              <w:t>5</w:t>
            </w:r>
            <w:r>
              <w:rPr>
                <w:noProof/>
                <w:webHidden/>
              </w:rPr>
              <w:fldChar w:fldCharType="end"/>
            </w:r>
          </w:hyperlink>
        </w:p>
        <w:p w:rsidR="006C3675" w:rsidRDefault="00CC2DF5" w:rsidP="006C3675">
          <w:pPr>
            <w:pStyle w:val="TOC2"/>
            <w:tabs>
              <w:tab w:val="right" w:leader="dot" w:pos="9062"/>
            </w:tabs>
            <w:spacing w:line="240" w:lineRule="auto"/>
            <w:rPr>
              <w:rFonts w:asciiTheme="minorHAnsi" w:eastAsiaTheme="minorEastAsia" w:hAnsiTheme="minorHAnsi"/>
              <w:noProof/>
              <w:sz w:val="22"/>
              <w:lang w:eastAsia="hr-HR"/>
            </w:rPr>
          </w:pPr>
          <w:hyperlink w:anchor="_Toc283404980" w:history="1">
            <w:r w:rsidR="006C3675" w:rsidRPr="00676D72">
              <w:rPr>
                <w:rStyle w:val="Hyperlink"/>
                <w:noProof/>
              </w:rPr>
              <w:t>2.1. Razvoj željezničkog prometa</w:t>
            </w:r>
            <w:r w:rsidR="006C3675">
              <w:rPr>
                <w:noProof/>
                <w:webHidden/>
              </w:rPr>
              <w:tab/>
            </w:r>
            <w:r>
              <w:rPr>
                <w:noProof/>
                <w:webHidden/>
              </w:rPr>
              <w:fldChar w:fldCharType="begin"/>
            </w:r>
            <w:r w:rsidR="006C3675">
              <w:rPr>
                <w:noProof/>
                <w:webHidden/>
              </w:rPr>
              <w:instrText xml:space="preserve"> PAGEREF _Toc283404980 \h </w:instrText>
            </w:r>
            <w:r>
              <w:rPr>
                <w:noProof/>
                <w:webHidden/>
              </w:rPr>
            </w:r>
            <w:r>
              <w:rPr>
                <w:noProof/>
                <w:webHidden/>
              </w:rPr>
              <w:fldChar w:fldCharType="separate"/>
            </w:r>
            <w:r w:rsidR="006C3675">
              <w:rPr>
                <w:noProof/>
                <w:webHidden/>
              </w:rPr>
              <w:t>5</w:t>
            </w:r>
            <w:r>
              <w:rPr>
                <w:noProof/>
                <w:webHidden/>
              </w:rPr>
              <w:fldChar w:fldCharType="end"/>
            </w:r>
          </w:hyperlink>
        </w:p>
        <w:p w:rsidR="006C3675" w:rsidRDefault="00CC2DF5" w:rsidP="006C3675">
          <w:pPr>
            <w:pStyle w:val="TOC2"/>
            <w:tabs>
              <w:tab w:val="right" w:leader="dot" w:pos="9062"/>
            </w:tabs>
            <w:spacing w:line="240" w:lineRule="auto"/>
            <w:rPr>
              <w:rFonts w:asciiTheme="minorHAnsi" w:eastAsiaTheme="minorEastAsia" w:hAnsiTheme="minorHAnsi"/>
              <w:noProof/>
              <w:sz w:val="22"/>
              <w:lang w:eastAsia="hr-HR"/>
            </w:rPr>
          </w:pPr>
          <w:hyperlink w:anchor="_Toc283404981" w:history="1">
            <w:r w:rsidR="006C3675" w:rsidRPr="00676D72">
              <w:rPr>
                <w:rStyle w:val="Hyperlink"/>
                <w:noProof/>
              </w:rPr>
              <w:t>2.2. Željeznička suprastruktura</w:t>
            </w:r>
            <w:r w:rsidR="006C3675">
              <w:rPr>
                <w:noProof/>
                <w:webHidden/>
              </w:rPr>
              <w:tab/>
            </w:r>
            <w:r>
              <w:rPr>
                <w:noProof/>
                <w:webHidden/>
              </w:rPr>
              <w:fldChar w:fldCharType="begin"/>
            </w:r>
            <w:r w:rsidR="006C3675">
              <w:rPr>
                <w:noProof/>
                <w:webHidden/>
              </w:rPr>
              <w:instrText xml:space="preserve"> PAGEREF _Toc283404981 \h </w:instrText>
            </w:r>
            <w:r>
              <w:rPr>
                <w:noProof/>
                <w:webHidden/>
              </w:rPr>
            </w:r>
            <w:r>
              <w:rPr>
                <w:noProof/>
                <w:webHidden/>
              </w:rPr>
              <w:fldChar w:fldCharType="separate"/>
            </w:r>
            <w:r w:rsidR="006C3675">
              <w:rPr>
                <w:noProof/>
                <w:webHidden/>
              </w:rPr>
              <w:t>5</w:t>
            </w:r>
            <w:r>
              <w:rPr>
                <w:noProof/>
                <w:webHidden/>
              </w:rPr>
              <w:fldChar w:fldCharType="end"/>
            </w:r>
          </w:hyperlink>
        </w:p>
        <w:p w:rsidR="006C3675" w:rsidRDefault="00CC2DF5" w:rsidP="006C3675">
          <w:pPr>
            <w:pStyle w:val="TOC2"/>
            <w:tabs>
              <w:tab w:val="right" w:leader="dot" w:pos="9062"/>
            </w:tabs>
            <w:spacing w:line="240" w:lineRule="auto"/>
            <w:rPr>
              <w:rFonts w:asciiTheme="minorHAnsi" w:eastAsiaTheme="minorEastAsia" w:hAnsiTheme="minorHAnsi"/>
              <w:noProof/>
              <w:sz w:val="22"/>
              <w:lang w:eastAsia="hr-HR"/>
            </w:rPr>
          </w:pPr>
          <w:hyperlink w:anchor="_Toc283404982" w:history="1">
            <w:r w:rsidR="006C3675" w:rsidRPr="00676D72">
              <w:rPr>
                <w:rStyle w:val="Hyperlink"/>
                <w:noProof/>
              </w:rPr>
              <w:t>2.3. Željeznička infrastruktura</w:t>
            </w:r>
            <w:r w:rsidR="006C3675">
              <w:rPr>
                <w:noProof/>
                <w:webHidden/>
              </w:rPr>
              <w:tab/>
            </w:r>
            <w:r>
              <w:rPr>
                <w:noProof/>
                <w:webHidden/>
              </w:rPr>
              <w:fldChar w:fldCharType="begin"/>
            </w:r>
            <w:r w:rsidR="006C3675">
              <w:rPr>
                <w:noProof/>
                <w:webHidden/>
              </w:rPr>
              <w:instrText xml:space="preserve"> PAGEREF _Toc283404982 \h </w:instrText>
            </w:r>
            <w:r>
              <w:rPr>
                <w:noProof/>
                <w:webHidden/>
              </w:rPr>
            </w:r>
            <w:r>
              <w:rPr>
                <w:noProof/>
                <w:webHidden/>
              </w:rPr>
              <w:fldChar w:fldCharType="separate"/>
            </w:r>
            <w:r w:rsidR="006C3675">
              <w:rPr>
                <w:noProof/>
                <w:webHidden/>
              </w:rPr>
              <w:t>5</w:t>
            </w:r>
            <w:r>
              <w:rPr>
                <w:noProof/>
                <w:webHidden/>
              </w:rPr>
              <w:fldChar w:fldCharType="end"/>
            </w:r>
          </w:hyperlink>
        </w:p>
        <w:p w:rsidR="006C3675" w:rsidRDefault="00CC2DF5" w:rsidP="006C3675">
          <w:pPr>
            <w:pStyle w:val="TOC2"/>
            <w:tabs>
              <w:tab w:val="right" w:leader="dot" w:pos="9062"/>
            </w:tabs>
            <w:spacing w:line="240" w:lineRule="auto"/>
            <w:rPr>
              <w:rFonts w:asciiTheme="minorHAnsi" w:eastAsiaTheme="minorEastAsia" w:hAnsiTheme="minorHAnsi"/>
              <w:noProof/>
              <w:sz w:val="22"/>
              <w:lang w:eastAsia="hr-HR"/>
            </w:rPr>
          </w:pPr>
          <w:hyperlink w:anchor="_Toc283404983" w:history="1">
            <w:r w:rsidR="006C3675" w:rsidRPr="00676D72">
              <w:rPr>
                <w:rStyle w:val="Hyperlink"/>
                <w:noProof/>
              </w:rPr>
              <w:t>2.4. Okoliš</w:t>
            </w:r>
            <w:r w:rsidR="006C3675">
              <w:rPr>
                <w:noProof/>
                <w:webHidden/>
              </w:rPr>
              <w:tab/>
            </w:r>
            <w:r>
              <w:rPr>
                <w:noProof/>
                <w:webHidden/>
              </w:rPr>
              <w:fldChar w:fldCharType="begin"/>
            </w:r>
            <w:r w:rsidR="006C3675">
              <w:rPr>
                <w:noProof/>
                <w:webHidden/>
              </w:rPr>
              <w:instrText xml:space="preserve"> PAGEREF _Toc283404983 \h </w:instrText>
            </w:r>
            <w:r>
              <w:rPr>
                <w:noProof/>
                <w:webHidden/>
              </w:rPr>
            </w:r>
            <w:r>
              <w:rPr>
                <w:noProof/>
                <w:webHidden/>
              </w:rPr>
              <w:fldChar w:fldCharType="separate"/>
            </w:r>
            <w:r w:rsidR="006C3675">
              <w:rPr>
                <w:noProof/>
                <w:webHidden/>
              </w:rPr>
              <w:t>5</w:t>
            </w:r>
            <w:r>
              <w:rPr>
                <w:noProof/>
                <w:webHidden/>
              </w:rPr>
              <w:fldChar w:fldCharType="end"/>
            </w:r>
          </w:hyperlink>
        </w:p>
        <w:p w:rsidR="006C3675" w:rsidRDefault="00CC2DF5" w:rsidP="006C3675">
          <w:pPr>
            <w:pStyle w:val="TOC3"/>
            <w:tabs>
              <w:tab w:val="right" w:leader="dot" w:pos="9062"/>
            </w:tabs>
            <w:spacing w:line="240" w:lineRule="auto"/>
            <w:rPr>
              <w:rFonts w:asciiTheme="minorHAnsi" w:eastAsiaTheme="minorEastAsia" w:hAnsiTheme="minorHAnsi"/>
              <w:noProof/>
              <w:sz w:val="22"/>
              <w:lang w:eastAsia="hr-HR"/>
            </w:rPr>
          </w:pPr>
          <w:hyperlink w:anchor="_Toc283404984" w:history="1">
            <w:r w:rsidR="006C3675" w:rsidRPr="00676D72">
              <w:rPr>
                <w:rStyle w:val="Hyperlink"/>
                <w:noProof/>
              </w:rPr>
              <w:t>2.4.1. Pregled mogućih utjecaja na okoliš</w:t>
            </w:r>
            <w:r w:rsidR="006C3675">
              <w:rPr>
                <w:noProof/>
                <w:webHidden/>
              </w:rPr>
              <w:tab/>
            </w:r>
            <w:r>
              <w:rPr>
                <w:noProof/>
                <w:webHidden/>
              </w:rPr>
              <w:fldChar w:fldCharType="begin"/>
            </w:r>
            <w:r w:rsidR="006C3675">
              <w:rPr>
                <w:noProof/>
                <w:webHidden/>
              </w:rPr>
              <w:instrText xml:space="preserve"> PAGEREF _Toc283404984 \h </w:instrText>
            </w:r>
            <w:r>
              <w:rPr>
                <w:noProof/>
                <w:webHidden/>
              </w:rPr>
            </w:r>
            <w:r>
              <w:rPr>
                <w:noProof/>
                <w:webHidden/>
              </w:rPr>
              <w:fldChar w:fldCharType="separate"/>
            </w:r>
            <w:r w:rsidR="006C3675">
              <w:rPr>
                <w:noProof/>
                <w:webHidden/>
              </w:rPr>
              <w:t>6</w:t>
            </w:r>
            <w:r>
              <w:rPr>
                <w:noProof/>
                <w:webHidden/>
              </w:rPr>
              <w:fldChar w:fldCharType="end"/>
            </w:r>
          </w:hyperlink>
        </w:p>
        <w:p w:rsidR="006C3675" w:rsidRDefault="00CC2DF5" w:rsidP="006C3675">
          <w:pPr>
            <w:pStyle w:val="TOC3"/>
            <w:tabs>
              <w:tab w:val="right" w:leader="dot" w:pos="9062"/>
            </w:tabs>
            <w:spacing w:line="240" w:lineRule="auto"/>
            <w:rPr>
              <w:rStyle w:val="Hyperlink"/>
              <w:noProof/>
            </w:rPr>
          </w:pPr>
          <w:hyperlink w:anchor="_Toc283404985" w:history="1">
            <w:r w:rsidR="006C3675" w:rsidRPr="00676D72">
              <w:rPr>
                <w:rStyle w:val="Hyperlink"/>
                <w:noProof/>
              </w:rPr>
              <w:t>2.4.2. Mjere zaštite okoliša</w:t>
            </w:r>
            <w:r w:rsidR="006C3675">
              <w:rPr>
                <w:noProof/>
                <w:webHidden/>
              </w:rPr>
              <w:tab/>
            </w:r>
            <w:r>
              <w:rPr>
                <w:noProof/>
                <w:webHidden/>
              </w:rPr>
              <w:fldChar w:fldCharType="begin"/>
            </w:r>
            <w:r w:rsidR="006C3675">
              <w:rPr>
                <w:noProof/>
                <w:webHidden/>
              </w:rPr>
              <w:instrText xml:space="preserve"> PAGEREF _Toc283404985 \h </w:instrText>
            </w:r>
            <w:r>
              <w:rPr>
                <w:noProof/>
                <w:webHidden/>
              </w:rPr>
            </w:r>
            <w:r>
              <w:rPr>
                <w:noProof/>
                <w:webHidden/>
              </w:rPr>
              <w:fldChar w:fldCharType="separate"/>
            </w:r>
            <w:r w:rsidR="006C3675">
              <w:rPr>
                <w:noProof/>
                <w:webHidden/>
              </w:rPr>
              <w:t>6</w:t>
            </w:r>
            <w:r>
              <w:rPr>
                <w:noProof/>
                <w:webHidden/>
              </w:rPr>
              <w:fldChar w:fldCharType="end"/>
            </w:r>
          </w:hyperlink>
        </w:p>
        <w:p w:rsidR="006C3675" w:rsidRPr="006C3675" w:rsidRDefault="006C3675" w:rsidP="006C3675"/>
        <w:p w:rsidR="006C3675" w:rsidRDefault="00CC2DF5" w:rsidP="006C3675">
          <w:pPr>
            <w:pStyle w:val="TOC1"/>
            <w:tabs>
              <w:tab w:val="right" w:leader="dot" w:pos="9062"/>
            </w:tabs>
            <w:spacing w:line="240" w:lineRule="auto"/>
            <w:rPr>
              <w:rFonts w:asciiTheme="minorHAnsi" w:eastAsiaTheme="minorEastAsia" w:hAnsiTheme="minorHAnsi"/>
              <w:noProof/>
              <w:sz w:val="22"/>
              <w:lang w:eastAsia="hr-HR"/>
            </w:rPr>
          </w:pPr>
          <w:hyperlink w:anchor="_Toc283404986" w:history="1">
            <w:r w:rsidR="006C3675" w:rsidRPr="00676D72">
              <w:rPr>
                <w:rStyle w:val="Hyperlink"/>
                <w:noProof/>
              </w:rPr>
              <w:t>3. UTJECAJ ŽELJEZNIČKE INFRASTRUKTURE NA OKOLIŠ</w:t>
            </w:r>
            <w:r w:rsidR="006C3675">
              <w:rPr>
                <w:noProof/>
                <w:webHidden/>
              </w:rPr>
              <w:tab/>
            </w:r>
            <w:r>
              <w:rPr>
                <w:noProof/>
                <w:webHidden/>
              </w:rPr>
              <w:fldChar w:fldCharType="begin"/>
            </w:r>
            <w:r w:rsidR="006C3675">
              <w:rPr>
                <w:noProof/>
                <w:webHidden/>
              </w:rPr>
              <w:instrText xml:space="preserve"> PAGEREF _Toc283404986 \h </w:instrText>
            </w:r>
            <w:r>
              <w:rPr>
                <w:noProof/>
                <w:webHidden/>
              </w:rPr>
            </w:r>
            <w:r>
              <w:rPr>
                <w:noProof/>
                <w:webHidden/>
              </w:rPr>
              <w:fldChar w:fldCharType="separate"/>
            </w:r>
            <w:r w:rsidR="006C3675">
              <w:rPr>
                <w:noProof/>
                <w:webHidden/>
              </w:rPr>
              <w:t>7</w:t>
            </w:r>
            <w:r>
              <w:rPr>
                <w:noProof/>
                <w:webHidden/>
              </w:rPr>
              <w:fldChar w:fldCharType="end"/>
            </w:r>
          </w:hyperlink>
        </w:p>
        <w:p w:rsidR="006C3675" w:rsidRDefault="00CC2DF5" w:rsidP="006C3675">
          <w:pPr>
            <w:pStyle w:val="TOC2"/>
            <w:tabs>
              <w:tab w:val="right" w:leader="dot" w:pos="9062"/>
            </w:tabs>
            <w:spacing w:line="240" w:lineRule="auto"/>
            <w:rPr>
              <w:rFonts w:asciiTheme="minorHAnsi" w:eastAsiaTheme="minorEastAsia" w:hAnsiTheme="minorHAnsi"/>
              <w:noProof/>
              <w:sz w:val="22"/>
              <w:lang w:eastAsia="hr-HR"/>
            </w:rPr>
          </w:pPr>
          <w:hyperlink w:anchor="_Toc283404987" w:history="1">
            <w:r w:rsidR="006C3675" w:rsidRPr="00676D72">
              <w:rPr>
                <w:rStyle w:val="Hyperlink"/>
                <w:noProof/>
              </w:rPr>
              <w:t>3.1. Komparacija utjecaja na okoliš željezničkog prometa s ostalim prometnim granama</w:t>
            </w:r>
            <w:r w:rsidR="006C3675">
              <w:rPr>
                <w:noProof/>
                <w:webHidden/>
              </w:rPr>
              <w:tab/>
            </w:r>
            <w:r>
              <w:rPr>
                <w:noProof/>
                <w:webHidden/>
              </w:rPr>
              <w:fldChar w:fldCharType="begin"/>
            </w:r>
            <w:r w:rsidR="006C3675">
              <w:rPr>
                <w:noProof/>
                <w:webHidden/>
              </w:rPr>
              <w:instrText xml:space="preserve"> PAGEREF _Toc283404987 \h </w:instrText>
            </w:r>
            <w:r>
              <w:rPr>
                <w:noProof/>
                <w:webHidden/>
              </w:rPr>
            </w:r>
            <w:r>
              <w:rPr>
                <w:noProof/>
                <w:webHidden/>
              </w:rPr>
              <w:fldChar w:fldCharType="separate"/>
            </w:r>
            <w:r w:rsidR="006C3675">
              <w:rPr>
                <w:noProof/>
                <w:webHidden/>
              </w:rPr>
              <w:t>7</w:t>
            </w:r>
            <w:r>
              <w:rPr>
                <w:noProof/>
                <w:webHidden/>
              </w:rPr>
              <w:fldChar w:fldCharType="end"/>
            </w:r>
          </w:hyperlink>
        </w:p>
        <w:p w:rsidR="006C3675" w:rsidRDefault="00CC2DF5" w:rsidP="006C3675">
          <w:pPr>
            <w:pStyle w:val="TOC2"/>
            <w:tabs>
              <w:tab w:val="right" w:leader="dot" w:pos="9062"/>
            </w:tabs>
            <w:spacing w:line="240" w:lineRule="auto"/>
            <w:rPr>
              <w:rFonts w:asciiTheme="minorHAnsi" w:eastAsiaTheme="minorEastAsia" w:hAnsiTheme="minorHAnsi"/>
              <w:noProof/>
              <w:sz w:val="22"/>
              <w:lang w:eastAsia="hr-HR"/>
            </w:rPr>
          </w:pPr>
          <w:hyperlink w:anchor="_Toc283404988" w:history="1">
            <w:r w:rsidR="006C3675" w:rsidRPr="00676D72">
              <w:rPr>
                <w:rStyle w:val="Hyperlink"/>
                <w:noProof/>
              </w:rPr>
              <w:t>3.2. Željeznička infrastruktura i okoliš</w:t>
            </w:r>
            <w:r w:rsidR="006C3675">
              <w:rPr>
                <w:noProof/>
                <w:webHidden/>
              </w:rPr>
              <w:tab/>
            </w:r>
            <w:r>
              <w:rPr>
                <w:noProof/>
                <w:webHidden/>
              </w:rPr>
              <w:fldChar w:fldCharType="begin"/>
            </w:r>
            <w:r w:rsidR="006C3675">
              <w:rPr>
                <w:noProof/>
                <w:webHidden/>
              </w:rPr>
              <w:instrText xml:space="preserve"> PAGEREF _Toc283404988 \h </w:instrText>
            </w:r>
            <w:r>
              <w:rPr>
                <w:noProof/>
                <w:webHidden/>
              </w:rPr>
            </w:r>
            <w:r>
              <w:rPr>
                <w:noProof/>
                <w:webHidden/>
              </w:rPr>
              <w:fldChar w:fldCharType="separate"/>
            </w:r>
            <w:r w:rsidR="006C3675">
              <w:rPr>
                <w:noProof/>
                <w:webHidden/>
              </w:rPr>
              <w:t>8</w:t>
            </w:r>
            <w:r>
              <w:rPr>
                <w:noProof/>
                <w:webHidden/>
              </w:rPr>
              <w:fldChar w:fldCharType="end"/>
            </w:r>
          </w:hyperlink>
        </w:p>
        <w:p w:rsidR="006C3675" w:rsidRDefault="00CC2DF5" w:rsidP="006C3675">
          <w:pPr>
            <w:pStyle w:val="TOC2"/>
            <w:tabs>
              <w:tab w:val="right" w:leader="dot" w:pos="9062"/>
            </w:tabs>
            <w:spacing w:line="240" w:lineRule="auto"/>
            <w:rPr>
              <w:rStyle w:val="Hyperlink"/>
              <w:noProof/>
            </w:rPr>
          </w:pPr>
          <w:hyperlink w:anchor="_Toc283404989" w:history="1">
            <w:r w:rsidR="006C3675" w:rsidRPr="00676D72">
              <w:rPr>
                <w:rStyle w:val="Hyperlink"/>
                <w:noProof/>
              </w:rPr>
              <w:t>3.3. Utjecaj pogonskih goriva željeznica na okoliš</w:t>
            </w:r>
            <w:r w:rsidR="006C3675">
              <w:rPr>
                <w:noProof/>
                <w:webHidden/>
              </w:rPr>
              <w:tab/>
            </w:r>
            <w:r>
              <w:rPr>
                <w:noProof/>
                <w:webHidden/>
              </w:rPr>
              <w:fldChar w:fldCharType="begin"/>
            </w:r>
            <w:r w:rsidR="006C3675">
              <w:rPr>
                <w:noProof/>
                <w:webHidden/>
              </w:rPr>
              <w:instrText xml:space="preserve"> PAGEREF _Toc283404989 \h </w:instrText>
            </w:r>
            <w:r>
              <w:rPr>
                <w:noProof/>
                <w:webHidden/>
              </w:rPr>
            </w:r>
            <w:r>
              <w:rPr>
                <w:noProof/>
                <w:webHidden/>
              </w:rPr>
              <w:fldChar w:fldCharType="separate"/>
            </w:r>
            <w:r w:rsidR="006C3675">
              <w:rPr>
                <w:noProof/>
                <w:webHidden/>
              </w:rPr>
              <w:t>9</w:t>
            </w:r>
            <w:r>
              <w:rPr>
                <w:noProof/>
                <w:webHidden/>
              </w:rPr>
              <w:fldChar w:fldCharType="end"/>
            </w:r>
          </w:hyperlink>
        </w:p>
        <w:p w:rsidR="006C3675" w:rsidRPr="006C3675" w:rsidRDefault="006C3675" w:rsidP="006C3675"/>
        <w:p w:rsidR="006C3675" w:rsidRDefault="00CC2DF5" w:rsidP="006C3675">
          <w:pPr>
            <w:pStyle w:val="TOC1"/>
            <w:tabs>
              <w:tab w:val="right" w:leader="dot" w:pos="9062"/>
            </w:tabs>
            <w:spacing w:line="240" w:lineRule="auto"/>
            <w:rPr>
              <w:rFonts w:asciiTheme="minorHAnsi" w:eastAsiaTheme="minorEastAsia" w:hAnsiTheme="minorHAnsi"/>
              <w:noProof/>
              <w:sz w:val="22"/>
              <w:lang w:eastAsia="hr-HR"/>
            </w:rPr>
          </w:pPr>
          <w:hyperlink w:anchor="_Toc283404990" w:history="1">
            <w:r w:rsidR="006C3675" w:rsidRPr="00676D72">
              <w:rPr>
                <w:rStyle w:val="Hyperlink"/>
                <w:noProof/>
              </w:rPr>
              <w:t>4. ŽELJEZNIČKA INFRASTRUKTURA U BUDUĆNOSTI</w:t>
            </w:r>
            <w:r w:rsidR="006C3675">
              <w:rPr>
                <w:noProof/>
                <w:webHidden/>
              </w:rPr>
              <w:tab/>
            </w:r>
            <w:r>
              <w:rPr>
                <w:noProof/>
                <w:webHidden/>
              </w:rPr>
              <w:fldChar w:fldCharType="begin"/>
            </w:r>
            <w:r w:rsidR="006C3675">
              <w:rPr>
                <w:noProof/>
                <w:webHidden/>
              </w:rPr>
              <w:instrText xml:space="preserve"> PAGEREF _Toc283404990 \h </w:instrText>
            </w:r>
            <w:r>
              <w:rPr>
                <w:noProof/>
                <w:webHidden/>
              </w:rPr>
            </w:r>
            <w:r>
              <w:rPr>
                <w:noProof/>
                <w:webHidden/>
              </w:rPr>
              <w:fldChar w:fldCharType="separate"/>
            </w:r>
            <w:r w:rsidR="006C3675">
              <w:rPr>
                <w:noProof/>
                <w:webHidden/>
              </w:rPr>
              <w:t>10</w:t>
            </w:r>
            <w:r>
              <w:rPr>
                <w:noProof/>
                <w:webHidden/>
              </w:rPr>
              <w:fldChar w:fldCharType="end"/>
            </w:r>
          </w:hyperlink>
        </w:p>
        <w:p w:rsidR="006C3675" w:rsidRDefault="00CC2DF5" w:rsidP="006C3675">
          <w:pPr>
            <w:pStyle w:val="TOC2"/>
            <w:tabs>
              <w:tab w:val="right" w:leader="dot" w:pos="9062"/>
            </w:tabs>
            <w:spacing w:line="240" w:lineRule="auto"/>
            <w:rPr>
              <w:rFonts w:asciiTheme="minorHAnsi" w:eastAsiaTheme="minorEastAsia" w:hAnsiTheme="minorHAnsi"/>
              <w:noProof/>
              <w:sz w:val="22"/>
              <w:lang w:eastAsia="hr-HR"/>
            </w:rPr>
          </w:pPr>
          <w:hyperlink w:anchor="_Toc283404991" w:history="1">
            <w:r w:rsidR="006C3675" w:rsidRPr="00676D72">
              <w:rPr>
                <w:rStyle w:val="Hyperlink"/>
                <w:noProof/>
              </w:rPr>
              <w:t>4.1. Smjernice za poboljšanje željezničke infrastrukture koja će manje štetiti okolišu</w:t>
            </w:r>
            <w:r w:rsidR="006C3675">
              <w:rPr>
                <w:noProof/>
                <w:webHidden/>
              </w:rPr>
              <w:tab/>
            </w:r>
            <w:r>
              <w:rPr>
                <w:noProof/>
                <w:webHidden/>
              </w:rPr>
              <w:fldChar w:fldCharType="begin"/>
            </w:r>
            <w:r w:rsidR="006C3675">
              <w:rPr>
                <w:noProof/>
                <w:webHidden/>
              </w:rPr>
              <w:instrText xml:space="preserve"> PAGEREF _Toc283404991 \h </w:instrText>
            </w:r>
            <w:r>
              <w:rPr>
                <w:noProof/>
                <w:webHidden/>
              </w:rPr>
            </w:r>
            <w:r>
              <w:rPr>
                <w:noProof/>
                <w:webHidden/>
              </w:rPr>
              <w:fldChar w:fldCharType="separate"/>
            </w:r>
            <w:r w:rsidR="006C3675">
              <w:rPr>
                <w:noProof/>
                <w:webHidden/>
              </w:rPr>
              <w:t>10</w:t>
            </w:r>
            <w:r>
              <w:rPr>
                <w:noProof/>
                <w:webHidden/>
              </w:rPr>
              <w:fldChar w:fldCharType="end"/>
            </w:r>
          </w:hyperlink>
        </w:p>
        <w:p w:rsidR="006C3675" w:rsidRDefault="00CC2DF5" w:rsidP="006C3675">
          <w:pPr>
            <w:pStyle w:val="TOC2"/>
            <w:tabs>
              <w:tab w:val="right" w:leader="dot" w:pos="9062"/>
            </w:tabs>
            <w:spacing w:line="240" w:lineRule="auto"/>
            <w:rPr>
              <w:rFonts w:asciiTheme="minorHAnsi" w:eastAsiaTheme="minorEastAsia" w:hAnsiTheme="minorHAnsi"/>
              <w:noProof/>
              <w:sz w:val="22"/>
              <w:lang w:eastAsia="hr-HR"/>
            </w:rPr>
          </w:pPr>
          <w:hyperlink w:anchor="_Toc283404992" w:history="1">
            <w:r w:rsidR="006C3675" w:rsidRPr="00676D72">
              <w:rPr>
                <w:rStyle w:val="Hyperlink"/>
                <w:noProof/>
              </w:rPr>
              <w:t>4.2. Inovativna rješenja energetske učinkovitosti za željezničku infrastrukturu</w:t>
            </w:r>
            <w:r w:rsidR="006C3675">
              <w:rPr>
                <w:noProof/>
                <w:webHidden/>
              </w:rPr>
              <w:tab/>
            </w:r>
            <w:r>
              <w:rPr>
                <w:noProof/>
                <w:webHidden/>
              </w:rPr>
              <w:fldChar w:fldCharType="begin"/>
            </w:r>
            <w:r w:rsidR="006C3675">
              <w:rPr>
                <w:noProof/>
                <w:webHidden/>
              </w:rPr>
              <w:instrText xml:space="preserve"> PAGEREF _Toc283404992 \h </w:instrText>
            </w:r>
            <w:r>
              <w:rPr>
                <w:noProof/>
                <w:webHidden/>
              </w:rPr>
            </w:r>
            <w:r>
              <w:rPr>
                <w:noProof/>
                <w:webHidden/>
              </w:rPr>
              <w:fldChar w:fldCharType="separate"/>
            </w:r>
            <w:r w:rsidR="006C3675">
              <w:rPr>
                <w:noProof/>
                <w:webHidden/>
              </w:rPr>
              <w:t>10</w:t>
            </w:r>
            <w:r>
              <w:rPr>
                <w:noProof/>
                <w:webHidden/>
              </w:rPr>
              <w:fldChar w:fldCharType="end"/>
            </w:r>
          </w:hyperlink>
        </w:p>
        <w:p w:rsidR="006C3675" w:rsidRDefault="00CC2DF5" w:rsidP="006C3675">
          <w:pPr>
            <w:pStyle w:val="TOC2"/>
            <w:tabs>
              <w:tab w:val="right" w:leader="dot" w:pos="9062"/>
            </w:tabs>
            <w:spacing w:line="240" w:lineRule="auto"/>
            <w:rPr>
              <w:rStyle w:val="Hyperlink"/>
              <w:noProof/>
            </w:rPr>
          </w:pPr>
          <w:hyperlink w:anchor="_Toc283404993" w:history="1">
            <w:r w:rsidR="006C3675" w:rsidRPr="00676D72">
              <w:rPr>
                <w:rStyle w:val="Hyperlink"/>
                <w:noProof/>
              </w:rPr>
              <w:t>4.3. Nova generacija vlakova</w:t>
            </w:r>
            <w:r w:rsidR="006C3675">
              <w:rPr>
                <w:noProof/>
                <w:webHidden/>
              </w:rPr>
              <w:tab/>
            </w:r>
            <w:r>
              <w:rPr>
                <w:noProof/>
                <w:webHidden/>
              </w:rPr>
              <w:fldChar w:fldCharType="begin"/>
            </w:r>
            <w:r w:rsidR="006C3675">
              <w:rPr>
                <w:noProof/>
                <w:webHidden/>
              </w:rPr>
              <w:instrText xml:space="preserve"> PAGEREF _Toc283404993 \h </w:instrText>
            </w:r>
            <w:r>
              <w:rPr>
                <w:noProof/>
                <w:webHidden/>
              </w:rPr>
            </w:r>
            <w:r>
              <w:rPr>
                <w:noProof/>
                <w:webHidden/>
              </w:rPr>
              <w:fldChar w:fldCharType="separate"/>
            </w:r>
            <w:r w:rsidR="006C3675">
              <w:rPr>
                <w:noProof/>
                <w:webHidden/>
              </w:rPr>
              <w:t>11</w:t>
            </w:r>
            <w:r>
              <w:rPr>
                <w:noProof/>
                <w:webHidden/>
              </w:rPr>
              <w:fldChar w:fldCharType="end"/>
            </w:r>
          </w:hyperlink>
        </w:p>
        <w:p w:rsidR="006C3675" w:rsidRPr="006C3675" w:rsidRDefault="006C3675" w:rsidP="006C3675"/>
        <w:p w:rsidR="006C3675" w:rsidRDefault="00CC2DF5" w:rsidP="006C3675">
          <w:pPr>
            <w:pStyle w:val="TOC1"/>
            <w:tabs>
              <w:tab w:val="right" w:leader="dot" w:pos="9062"/>
            </w:tabs>
            <w:spacing w:line="240" w:lineRule="auto"/>
            <w:rPr>
              <w:rStyle w:val="Hyperlink"/>
              <w:noProof/>
            </w:rPr>
          </w:pPr>
          <w:hyperlink w:anchor="_Toc283404994" w:history="1">
            <w:r w:rsidR="006C3675" w:rsidRPr="00676D72">
              <w:rPr>
                <w:rStyle w:val="Hyperlink"/>
                <w:noProof/>
              </w:rPr>
              <w:t>5. ZAKLJUČAK</w:t>
            </w:r>
            <w:r w:rsidR="006C3675">
              <w:rPr>
                <w:noProof/>
                <w:webHidden/>
              </w:rPr>
              <w:tab/>
            </w:r>
            <w:r>
              <w:rPr>
                <w:noProof/>
                <w:webHidden/>
              </w:rPr>
              <w:fldChar w:fldCharType="begin"/>
            </w:r>
            <w:r w:rsidR="006C3675">
              <w:rPr>
                <w:noProof/>
                <w:webHidden/>
              </w:rPr>
              <w:instrText xml:space="preserve"> PAGEREF _Toc283404994 \h </w:instrText>
            </w:r>
            <w:r>
              <w:rPr>
                <w:noProof/>
                <w:webHidden/>
              </w:rPr>
            </w:r>
            <w:r>
              <w:rPr>
                <w:noProof/>
                <w:webHidden/>
              </w:rPr>
              <w:fldChar w:fldCharType="separate"/>
            </w:r>
            <w:r w:rsidR="006C3675">
              <w:rPr>
                <w:noProof/>
                <w:webHidden/>
              </w:rPr>
              <w:t>13</w:t>
            </w:r>
            <w:r>
              <w:rPr>
                <w:noProof/>
                <w:webHidden/>
              </w:rPr>
              <w:fldChar w:fldCharType="end"/>
            </w:r>
          </w:hyperlink>
        </w:p>
        <w:p w:rsidR="006C3675" w:rsidRPr="006C3675" w:rsidRDefault="006C3675" w:rsidP="006C3675"/>
        <w:p w:rsidR="006C3675" w:rsidRDefault="00CC2DF5" w:rsidP="006C3675">
          <w:pPr>
            <w:pStyle w:val="TOC1"/>
            <w:tabs>
              <w:tab w:val="right" w:leader="dot" w:pos="9062"/>
            </w:tabs>
            <w:spacing w:line="240" w:lineRule="auto"/>
            <w:rPr>
              <w:rFonts w:asciiTheme="minorHAnsi" w:eastAsiaTheme="minorEastAsia" w:hAnsiTheme="minorHAnsi"/>
              <w:noProof/>
              <w:sz w:val="22"/>
              <w:lang w:eastAsia="hr-HR"/>
            </w:rPr>
          </w:pPr>
          <w:hyperlink w:anchor="_Toc283404995" w:history="1">
            <w:r w:rsidR="006C3675" w:rsidRPr="00676D72">
              <w:rPr>
                <w:rStyle w:val="Hyperlink"/>
                <w:noProof/>
              </w:rPr>
              <w:t>LITERATURA</w:t>
            </w:r>
            <w:r w:rsidR="006C3675">
              <w:rPr>
                <w:noProof/>
                <w:webHidden/>
              </w:rPr>
              <w:tab/>
            </w:r>
            <w:r>
              <w:rPr>
                <w:noProof/>
                <w:webHidden/>
              </w:rPr>
              <w:fldChar w:fldCharType="begin"/>
            </w:r>
            <w:r w:rsidR="006C3675">
              <w:rPr>
                <w:noProof/>
                <w:webHidden/>
              </w:rPr>
              <w:instrText xml:space="preserve"> PAGEREF _Toc283404995 \h </w:instrText>
            </w:r>
            <w:r>
              <w:rPr>
                <w:noProof/>
                <w:webHidden/>
              </w:rPr>
            </w:r>
            <w:r>
              <w:rPr>
                <w:noProof/>
                <w:webHidden/>
              </w:rPr>
              <w:fldChar w:fldCharType="separate"/>
            </w:r>
            <w:r w:rsidR="006C3675">
              <w:rPr>
                <w:noProof/>
                <w:webHidden/>
              </w:rPr>
              <w:t>14</w:t>
            </w:r>
            <w:r>
              <w:rPr>
                <w:noProof/>
                <w:webHidden/>
              </w:rPr>
              <w:fldChar w:fldCharType="end"/>
            </w:r>
          </w:hyperlink>
        </w:p>
        <w:p w:rsidR="006C3675" w:rsidRDefault="00CC2DF5" w:rsidP="006C3675">
          <w:pPr>
            <w:pStyle w:val="TOC1"/>
            <w:tabs>
              <w:tab w:val="right" w:leader="dot" w:pos="9062"/>
            </w:tabs>
            <w:spacing w:line="240" w:lineRule="auto"/>
            <w:rPr>
              <w:rFonts w:asciiTheme="minorHAnsi" w:eastAsiaTheme="minorEastAsia" w:hAnsiTheme="minorHAnsi"/>
              <w:noProof/>
              <w:sz w:val="22"/>
              <w:lang w:eastAsia="hr-HR"/>
            </w:rPr>
          </w:pPr>
          <w:hyperlink w:anchor="_Toc283404996" w:history="1">
            <w:r w:rsidR="006C3675" w:rsidRPr="00676D72">
              <w:rPr>
                <w:rStyle w:val="Hyperlink"/>
                <w:noProof/>
              </w:rPr>
              <w:t>POPIS TABLICA</w:t>
            </w:r>
            <w:r w:rsidR="006C3675">
              <w:rPr>
                <w:noProof/>
                <w:webHidden/>
              </w:rPr>
              <w:tab/>
            </w:r>
            <w:r>
              <w:rPr>
                <w:noProof/>
                <w:webHidden/>
              </w:rPr>
              <w:fldChar w:fldCharType="begin"/>
            </w:r>
            <w:r w:rsidR="006C3675">
              <w:rPr>
                <w:noProof/>
                <w:webHidden/>
              </w:rPr>
              <w:instrText xml:space="preserve"> PAGEREF _Toc283404996 \h </w:instrText>
            </w:r>
            <w:r>
              <w:rPr>
                <w:noProof/>
                <w:webHidden/>
              </w:rPr>
            </w:r>
            <w:r>
              <w:rPr>
                <w:noProof/>
                <w:webHidden/>
              </w:rPr>
              <w:fldChar w:fldCharType="separate"/>
            </w:r>
            <w:r w:rsidR="006C3675">
              <w:rPr>
                <w:noProof/>
                <w:webHidden/>
              </w:rPr>
              <w:t>15</w:t>
            </w:r>
            <w:r>
              <w:rPr>
                <w:noProof/>
                <w:webHidden/>
              </w:rPr>
              <w:fldChar w:fldCharType="end"/>
            </w:r>
          </w:hyperlink>
        </w:p>
        <w:p w:rsidR="006C3675" w:rsidRDefault="00CC2DF5" w:rsidP="006C3675">
          <w:pPr>
            <w:spacing w:line="240" w:lineRule="auto"/>
          </w:pPr>
          <w:r>
            <w:fldChar w:fldCharType="end"/>
          </w:r>
        </w:p>
      </w:sdtContent>
    </w:sdt>
    <w:p w:rsidR="006C3675" w:rsidRDefault="006C3675">
      <w:pPr>
        <w:spacing w:after="200" w:line="276" w:lineRule="auto"/>
        <w:jc w:val="left"/>
      </w:pPr>
    </w:p>
    <w:p w:rsidR="006C3675" w:rsidRDefault="006C3675">
      <w:pPr>
        <w:spacing w:after="200" w:line="276" w:lineRule="auto"/>
        <w:jc w:val="left"/>
      </w:pPr>
    </w:p>
    <w:p w:rsidR="006C3675" w:rsidRDefault="006C3675">
      <w:pPr>
        <w:spacing w:after="200" w:line="276" w:lineRule="auto"/>
        <w:jc w:val="left"/>
      </w:pPr>
    </w:p>
    <w:p w:rsidR="006C3675" w:rsidRDefault="006C3675">
      <w:pPr>
        <w:spacing w:after="200" w:line="276" w:lineRule="auto"/>
        <w:jc w:val="left"/>
      </w:pPr>
    </w:p>
    <w:p w:rsidR="006C3675" w:rsidRDefault="006C3675">
      <w:pPr>
        <w:spacing w:after="200" w:line="276" w:lineRule="auto"/>
        <w:jc w:val="left"/>
      </w:pPr>
    </w:p>
    <w:p w:rsidR="006C3675" w:rsidRDefault="006C3675" w:rsidP="006C3675">
      <w:pPr>
        <w:spacing w:line="240" w:lineRule="auto"/>
      </w:pPr>
    </w:p>
    <w:p w:rsidR="006C3675" w:rsidRDefault="006C3675" w:rsidP="006C3675">
      <w:pPr>
        <w:spacing w:line="240" w:lineRule="auto"/>
      </w:pPr>
    </w:p>
    <w:p w:rsidR="006C3675" w:rsidRDefault="006C3675" w:rsidP="006C3675">
      <w:pPr>
        <w:spacing w:line="240" w:lineRule="auto"/>
      </w:pPr>
    </w:p>
    <w:p w:rsidR="00CB45F2" w:rsidRDefault="00742D90" w:rsidP="00D57775">
      <w:pPr>
        <w:pStyle w:val="Heading1"/>
        <w:numPr>
          <w:ilvl w:val="0"/>
          <w:numId w:val="3"/>
        </w:numPr>
        <w:spacing w:line="240" w:lineRule="auto"/>
      </w:pPr>
      <w:bookmarkStart w:id="0" w:name="_Toc283295151"/>
      <w:bookmarkStart w:id="1" w:name="_Toc283404978"/>
      <w:r>
        <w:lastRenderedPageBreak/>
        <w:t>UVOD</w:t>
      </w:r>
      <w:bookmarkEnd w:id="0"/>
      <w:bookmarkEnd w:id="1"/>
    </w:p>
    <w:p w:rsidR="00DE7FF9" w:rsidRDefault="00DE7FF9" w:rsidP="00D57775">
      <w:pPr>
        <w:spacing w:line="240" w:lineRule="auto"/>
      </w:pPr>
    </w:p>
    <w:p w:rsidR="00742D90" w:rsidRDefault="00850CBA" w:rsidP="00D57775">
      <w:pPr>
        <w:spacing w:line="240" w:lineRule="auto"/>
        <w:ind w:firstLine="708"/>
      </w:pPr>
      <w:r>
        <w:t xml:space="preserve">U ovom seminarskom radu govori se o utjecaju željezničke infrastrukture na okoliš, koliko je taj utjecaj negativan u odnosu na ostale grane prometa te za negativne stvari elaborirana su </w:t>
      </w:r>
      <w:r w:rsidR="00DE7FF9">
        <w:t>moguća rješenja</w:t>
      </w:r>
    </w:p>
    <w:p w:rsidR="00742D90" w:rsidRDefault="00862DEA" w:rsidP="00D57775">
      <w:pPr>
        <w:spacing w:line="240" w:lineRule="auto"/>
        <w:ind w:firstLine="708"/>
      </w:pPr>
      <w:r>
        <w:t>Dokazano je i istraženo da promet šteti okolišu te samim time i željeznička infrastruktura</w:t>
      </w:r>
      <w:r w:rsidR="00F240F8">
        <w:t>. Za navedeni problem potrebno je istražiti i utvrditi koliko negativno željeznička infrastruktura utječe na okoliš u odnosu na ostale prometne grane. U prethodno navedenom problemu istraživanja postoje dva</w:t>
      </w:r>
      <w:r w:rsidR="00D57775">
        <w:t xml:space="preserve"> </w:t>
      </w:r>
      <w:r w:rsidR="00F240F8">
        <w:t>(2) objekta, željeznička infrastruktura i okoliš.</w:t>
      </w:r>
    </w:p>
    <w:p w:rsidR="00F240F8" w:rsidRDefault="00F240F8" w:rsidP="00D57775">
      <w:pPr>
        <w:spacing w:line="240" w:lineRule="auto"/>
        <w:ind w:firstLine="708"/>
      </w:pPr>
      <w:r>
        <w:t>Sustavnom</w:t>
      </w:r>
      <w:r w:rsidR="00862DEA">
        <w:t xml:space="preserve"> analizom i znanstvenim spoznajama</w:t>
      </w:r>
      <w:r>
        <w:t xml:space="preserve"> o željezničkoj infrastrukturi i okolišu moguće je zaključiti da </w:t>
      </w:r>
      <w:r w:rsidR="00862DEA">
        <w:t xml:space="preserve">transportna </w:t>
      </w:r>
      <w:r>
        <w:t xml:space="preserve">infrastruktura šteti okolišu. Komparacijom željezničkog prometa s ostalim granama prometa </w:t>
      </w:r>
      <w:r w:rsidR="00862DEA">
        <w:t>pokušati ćemo dokazati</w:t>
      </w:r>
      <w:r>
        <w:t xml:space="preserve"> da željeznička infrastruktura ima najmanji negativan utjecaj na okoliš.</w:t>
      </w:r>
    </w:p>
    <w:p w:rsidR="00F240F8" w:rsidRDefault="00F240F8" w:rsidP="00D57775">
      <w:pPr>
        <w:spacing w:line="240" w:lineRule="auto"/>
        <w:ind w:firstLine="708"/>
      </w:pPr>
      <w:r>
        <w:t>Svrha i ciljevi istraživanja za prethodno navedene elemente istraživanja sve utjecaje željezničke infrastrukture na okoliš, primjereno formulirati i predočiti rezultate istraživanja i komparacije.</w:t>
      </w:r>
    </w:p>
    <w:p w:rsidR="00DE7FF9" w:rsidRDefault="00F240F8" w:rsidP="00D57775">
      <w:pPr>
        <w:spacing w:line="240" w:lineRule="auto"/>
        <w:ind w:firstLine="708"/>
      </w:pPr>
      <w:r>
        <w:t>Pri istraživanju i formuliranju rezultata istraživanja u odgovaraju</w:t>
      </w:r>
      <w:r>
        <w:rPr>
          <w:rFonts w:ascii="TTE3766368t00" w:hAnsi="TTE3766368t00" w:cs="TTE3766368t00"/>
        </w:rPr>
        <w:t>ć</w:t>
      </w:r>
      <w:r>
        <w:t>oj kombinaciji korištene su sljede</w:t>
      </w:r>
      <w:r>
        <w:rPr>
          <w:rFonts w:ascii="TTE3766368t00" w:hAnsi="TTE3766368t00" w:cs="TTE3766368t00"/>
        </w:rPr>
        <w:t>ć</w:t>
      </w:r>
      <w:r>
        <w:t>e metode: metoda deskripcije, metoda analize i sinteze</w:t>
      </w:r>
      <w:r w:rsidR="00862DEA">
        <w:t>, m</w:t>
      </w:r>
      <w:r w:rsidR="00D57775">
        <w:t>etoda komparacije i metoda komp</w:t>
      </w:r>
      <w:r w:rsidR="00862DEA">
        <w:t>i</w:t>
      </w:r>
      <w:r w:rsidR="00D57775">
        <w:t>l</w:t>
      </w:r>
      <w:r w:rsidR="00862DEA">
        <w:t>acije.</w:t>
      </w:r>
    </w:p>
    <w:p w:rsidR="00862DEA" w:rsidRDefault="00F240F8" w:rsidP="00D57775">
      <w:pPr>
        <w:spacing w:line="240" w:lineRule="auto"/>
        <w:ind w:firstLine="708"/>
      </w:pPr>
      <w:r w:rsidRPr="00F240F8">
        <w:t xml:space="preserve">U </w:t>
      </w:r>
      <w:r w:rsidR="00850CBA">
        <w:rPr>
          <w:rFonts w:ascii="Times-Bold" w:hAnsi="Times-Bold" w:cs="Times-Bold"/>
          <w:b/>
          <w:bCs/>
        </w:rPr>
        <w:t>Uvodu</w:t>
      </w:r>
      <w:r w:rsidRPr="00F240F8">
        <w:rPr>
          <w:rFonts w:ascii="Times-Bold" w:hAnsi="Times-Bold" w:cs="Times-Bold"/>
          <w:b/>
          <w:bCs/>
        </w:rPr>
        <w:t xml:space="preserve"> </w:t>
      </w:r>
      <w:r w:rsidRPr="00F240F8">
        <w:t>su navedeni problem, predmet i objekt istraživanja, radna hipoteza i pomo</w:t>
      </w:r>
      <w:r w:rsidR="00850CBA">
        <w:rPr>
          <w:rFonts w:ascii="TTE3766368t00" w:hAnsi="TTE3766368t00" w:cs="TTE3766368t00"/>
        </w:rPr>
        <w:t>ć</w:t>
      </w:r>
      <w:r w:rsidRPr="00F240F8">
        <w:t>ne</w:t>
      </w:r>
      <w:r>
        <w:t xml:space="preserve"> </w:t>
      </w:r>
      <w:r w:rsidRPr="00F240F8">
        <w:t>hipoteze, svrha i ciljevi istraživanja, znanstvene metode i obrazložena je struktura rada.</w:t>
      </w:r>
      <w:r>
        <w:t xml:space="preserve"> </w:t>
      </w:r>
      <w:r w:rsidRPr="00F240F8">
        <w:t xml:space="preserve">Naslov drugog dijela rada je </w:t>
      </w:r>
      <w:r w:rsidR="00850CBA" w:rsidRPr="00850CBA">
        <w:rPr>
          <w:b/>
        </w:rPr>
        <w:t>Relevantne značajke o željezničkom prometu i okolišu</w:t>
      </w:r>
      <w:r w:rsidR="00850CBA">
        <w:t xml:space="preserve">. </w:t>
      </w:r>
    </w:p>
    <w:p w:rsidR="00850CBA" w:rsidRDefault="00F240F8" w:rsidP="00D57775">
      <w:pPr>
        <w:spacing w:line="240" w:lineRule="auto"/>
      </w:pPr>
      <w:r w:rsidRPr="00F240F8">
        <w:t>U tome dijelu rada analizirani su</w:t>
      </w:r>
      <w:r w:rsidR="00850CBA">
        <w:t xml:space="preserve"> željeznička infrastruktura, suprastruktura, okoliš te mjere zaštite okoliša. </w:t>
      </w:r>
      <w:r w:rsidR="00850CBA">
        <w:rPr>
          <w:b/>
        </w:rPr>
        <w:t xml:space="preserve">Utjecaj željezničke infrastrukture na okoliš </w:t>
      </w:r>
      <w:r w:rsidRPr="00F240F8">
        <w:t>naslov je tre</w:t>
      </w:r>
      <w:r w:rsidR="00850CBA">
        <w:rPr>
          <w:rFonts w:ascii="TTE3766368t00" w:hAnsi="TTE3766368t00" w:cs="TTE3766368t00"/>
        </w:rPr>
        <w:t>ć</w:t>
      </w:r>
      <w:r w:rsidRPr="00F240F8">
        <w:t>eg dijela rada. U tom dijelu predo</w:t>
      </w:r>
      <w:r w:rsidR="00850CBA">
        <w:rPr>
          <w:rFonts w:ascii="TTE3766368t00" w:hAnsi="TTE3766368t00" w:cs="TTE3766368t00"/>
        </w:rPr>
        <w:t>č</w:t>
      </w:r>
      <w:r w:rsidRPr="00F240F8">
        <w:t>eni su rezultati</w:t>
      </w:r>
      <w:r>
        <w:t xml:space="preserve"> </w:t>
      </w:r>
      <w:r w:rsidR="00850CBA">
        <w:t xml:space="preserve">istraživanja o utjecaju i komparacija utjecaja prometnih grana. </w:t>
      </w:r>
      <w:r w:rsidRPr="00F240F8">
        <w:t xml:space="preserve">U </w:t>
      </w:r>
      <w:r w:rsidR="00850CBA">
        <w:rPr>
          <w:rFonts w:ascii="TTE3766368t00" w:hAnsi="TTE3766368t00" w:cs="TTE3766368t00"/>
        </w:rPr>
        <w:t>č</w:t>
      </w:r>
      <w:r w:rsidRPr="00F240F8">
        <w:t xml:space="preserve">etvrtom dijelu rada s naslovom </w:t>
      </w:r>
      <w:r w:rsidR="00850CBA">
        <w:rPr>
          <w:b/>
        </w:rPr>
        <w:t>Željeznička infrastruktura u budućnosti</w:t>
      </w:r>
      <w:r w:rsidR="00850CBA">
        <w:t xml:space="preserve"> elaborirane su smjernice za poboljšanje željezničke infrastrukture koja će manje šteti okolišu i inovativna rješenja energetske učinkovitosti za željezničku infrastrukturu. </w:t>
      </w:r>
    </w:p>
    <w:p w:rsidR="00862DEA" w:rsidRDefault="00F240F8" w:rsidP="00D57775">
      <w:pPr>
        <w:spacing w:line="240" w:lineRule="auto"/>
      </w:pPr>
      <w:r w:rsidRPr="00F240F8">
        <w:t xml:space="preserve">U posljednjem dijelu, </w:t>
      </w:r>
      <w:r w:rsidRPr="00850CBA">
        <w:rPr>
          <w:b/>
        </w:rPr>
        <w:t>Zaklju</w:t>
      </w:r>
      <w:r w:rsidR="00850CBA" w:rsidRPr="00850CBA">
        <w:rPr>
          <w:b/>
        </w:rPr>
        <w:t>čk</w:t>
      </w:r>
      <w:r w:rsidRPr="00850CBA">
        <w:rPr>
          <w:b/>
        </w:rPr>
        <w:t>u</w:t>
      </w:r>
      <w:r w:rsidRPr="00F240F8">
        <w:t>, dana je sinteza rezultata istraživanja kojima je</w:t>
      </w:r>
      <w:r>
        <w:t xml:space="preserve"> </w:t>
      </w:r>
      <w:r w:rsidRPr="00F240F8">
        <w:t>dokazivana postavljena radna hipoteza.</w:t>
      </w:r>
    </w:p>
    <w:p w:rsidR="00862DEA" w:rsidRDefault="00862DEA" w:rsidP="00D57775">
      <w:pPr>
        <w:spacing w:after="200" w:line="240" w:lineRule="auto"/>
        <w:jc w:val="left"/>
      </w:pPr>
      <w:r>
        <w:br w:type="page"/>
      </w:r>
    </w:p>
    <w:p w:rsidR="00862DEA" w:rsidRDefault="00862DEA" w:rsidP="00D57775">
      <w:pPr>
        <w:pStyle w:val="Heading1"/>
        <w:spacing w:line="240" w:lineRule="auto"/>
      </w:pPr>
      <w:bookmarkStart w:id="2" w:name="_Toc283295157"/>
      <w:bookmarkStart w:id="3" w:name="_Toc283404979"/>
      <w:r>
        <w:lastRenderedPageBreak/>
        <w:t xml:space="preserve">2. </w:t>
      </w:r>
      <w:r w:rsidR="00AB5A5D">
        <w:t>RELEVANTNE ZNAČAJKE O ŽELJEZNIČKOM PROMETU I OKOLIŠU</w:t>
      </w:r>
      <w:bookmarkEnd w:id="2"/>
      <w:bookmarkEnd w:id="3"/>
    </w:p>
    <w:p w:rsidR="00AB5A5D" w:rsidRDefault="00AB5A5D" w:rsidP="00D57775">
      <w:pPr>
        <w:spacing w:line="240" w:lineRule="auto"/>
      </w:pPr>
    </w:p>
    <w:p w:rsidR="00AB5A5D" w:rsidRDefault="00AB5A5D" w:rsidP="00D57775">
      <w:pPr>
        <w:spacing w:line="240" w:lineRule="auto"/>
      </w:pPr>
      <w:r>
        <w:tab/>
        <w:t>Željeznica je takav vid prometa koji se odvija kopnenim prostorom određenim linijama (prugama). Za željeznički promet bitni su fizionomski elementi tračnice i željeznička vozila, bilo da su to viseće željeznice ili klasične s dvije tračnice na tlu, ili pak podzemne željeznice.</w:t>
      </w:r>
      <w:r>
        <w:rPr>
          <w:rStyle w:val="FootnoteReference"/>
        </w:rPr>
        <w:footnoteReference w:id="1"/>
      </w:r>
      <w:r>
        <w:t xml:space="preserve"> Okoliš je najvrjedniji resurs koji je okvir cjelokupnog djelovanja.</w:t>
      </w:r>
      <w:r>
        <w:rPr>
          <w:rStyle w:val="FootnoteReference"/>
        </w:rPr>
        <w:footnoteReference w:id="2"/>
      </w:r>
    </w:p>
    <w:p w:rsidR="00362563" w:rsidRDefault="00362563" w:rsidP="00D57775">
      <w:pPr>
        <w:spacing w:line="240" w:lineRule="auto"/>
      </w:pPr>
    </w:p>
    <w:p w:rsidR="00362563" w:rsidRDefault="00362563" w:rsidP="00D57775">
      <w:pPr>
        <w:pStyle w:val="Heading2"/>
        <w:spacing w:line="240" w:lineRule="auto"/>
      </w:pPr>
      <w:bookmarkStart w:id="4" w:name="_Toc283295158"/>
      <w:bookmarkStart w:id="5" w:name="_Toc283404980"/>
      <w:r>
        <w:t>2.1. Razvoj željezničkog prometa</w:t>
      </w:r>
      <w:bookmarkEnd w:id="4"/>
      <w:bookmarkEnd w:id="5"/>
    </w:p>
    <w:p w:rsidR="00B92729" w:rsidRPr="00B92729" w:rsidRDefault="00B92729" w:rsidP="00B92729"/>
    <w:p w:rsidR="00362563" w:rsidRDefault="006C5AB9" w:rsidP="00D57775">
      <w:pPr>
        <w:spacing w:line="240" w:lineRule="auto"/>
      </w:pPr>
      <w:r>
        <w:tab/>
      </w:r>
      <w:r w:rsidR="00362563">
        <w:t>Željeznički promet je jedan od najstarijih modernih vidova prijevoza. Njegova pojava datira iz početka 19. stoljeća iz Engleske od dana kada je Stephenson, 1825. godine, konstruirao prvu lokomotivu na parni pogon. U razvoju željeznica u svijetu su značajne gradnje transkontinentalnih željeznica, a prva je izgrađena 1869. godine od jedne do druge obale SAD-a. Transsibirska željeznica se gradila od 1892. do 1905. godine. Do danas je izrađena široka svjetska mreža željezničkih pruga i njihov razvoj je ubrzano rastao te se danas teži novim generacijama brzih vlakova.</w:t>
      </w:r>
      <w:r w:rsidR="00362563">
        <w:rPr>
          <w:rStyle w:val="FootnoteReference"/>
        </w:rPr>
        <w:footnoteReference w:id="3"/>
      </w:r>
    </w:p>
    <w:p w:rsidR="008C4A3D" w:rsidRDefault="008C4A3D" w:rsidP="00D57775">
      <w:pPr>
        <w:spacing w:line="240" w:lineRule="auto"/>
      </w:pPr>
    </w:p>
    <w:p w:rsidR="008C4A3D" w:rsidRDefault="008C4A3D" w:rsidP="00D57775">
      <w:pPr>
        <w:pStyle w:val="Heading2"/>
        <w:spacing w:line="240" w:lineRule="auto"/>
      </w:pPr>
      <w:bookmarkStart w:id="6" w:name="_Toc283295159"/>
      <w:bookmarkStart w:id="7" w:name="_Toc283404981"/>
      <w:r>
        <w:t>2.2. Željeznička suprastruktura</w:t>
      </w:r>
      <w:bookmarkEnd w:id="6"/>
      <w:bookmarkEnd w:id="7"/>
    </w:p>
    <w:p w:rsidR="00B92729" w:rsidRPr="00B92729" w:rsidRDefault="00B92729" w:rsidP="00B92729"/>
    <w:p w:rsidR="008C4A3D" w:rsidRDefault="006C5AB9" w:rsidP="00D57775">
      <w:pPr>
        <w:spacing w:line="240" w:lineRule="auto"/>
      </w:pPr>
      <w:r>
        <w:tab/>
      </w:r>
      <w:r w:rsidR="008C4A3D">
        <w:t>Željezničku suprastrukturu čine kompozicije sastavljene od vučnih i prijevoznih sredstava odnosno vlakovi. Pod suprastrukturu spadaju lokomotive na različite pogone, vagoni, teretna kola te ostala vozila koja služe kao prijevozni kapaciteti.</w:t>
      </w:r>
      <w:r w:rsidR="008C4A3D">
        <w:rPr>
          <w:rStyle w:val="FootnoteReference"/>
        </w:rPr>
        <w:footnoteReference w:id="4"/>
      </w:r>
    </w:p>
    <w:p w:rsidR="006C5AB9" w:rsidRDefault="006C5AB9" w:rsidP="00D57775">
      <w:pPr>
        <w:spacing w:line="240" w:lineRule="auto"/>
      </w:pPr>
    </w:p>
    <w:p w:rsidR="006C5AB9" w:rsidRDefault="006C5AB9" w:rsidP="00D57775">
      <w:pPr>
        <w:pStyle w:val="Heading2"/>
        <w:spacing w:line="240" w:lineRule="auto"/>
      </w:pPr>
      <w:bookmarkStart w:id="8" w:name="_Toc283295160"/>
      <w:bookmarkStart w:id="9" w:name="_Toc283404982"/>
      <w:r>
        <w:t>2.3. Željeznička infrastruktura</w:t>
      </w:r>
      <w:bookmarkEnd w:id="8"/>
      <w:bookmarkEnd w:id="9"/>
    </w:p>
    <w:p w:rsidR="00B92729" w:rsidRPr="00B92729" w:rsidRDefault="00B92729" w:rsidP="00B92729"/>
    <w:p w:rsidR="006C5AB9" w:rsidRDefault="006C5AB9" w:rsidP="00D57775">
      <w:pPr>
        <w:spacing w:line="240" w:lineRule="auto"/>
      </w:pPr>
      <w:r>
        <w:tab/>
        <w:t>Željezničku infrastrukturu čini skup stabilnih sredstava koji nisu ovisni o funkcioniranju transporta, ali bitno utječu na organizaciju i obavljanje prometa. Pod tim pojmom podrazumijevamo gornji i donji ustroj pruge, telekomunikacijski uređaji, signalno sigurnosni uređaji, umjetni objekti, kolosijeci, zgrade u eksploataciji, električne vučne podstanice, zračni prostor u visini od 12 – 14 metara iznad gornjeg ruba pruge itd.</w:t>
      </w:r>
      <w:r>
        <w:rPr>
          <w:rStyle w:val="FootnoteReference"/>
        </w:rPr>
        <w:footnoteReference w:id="5"/>
      </w:r>
    </w:p>
    <w:p w:rsidR="0051173E" w:rsidRDefault="0051173E" w:rsidP="00D57775">
      <w:pPr>
        <w:spacing w:line="240" w:lineRule="auto"/>
      </w:pPr>
    </w:p>
    <w:p w:rsidR="0051173E" w:rsidRDefault="0051173E" w:rsidP="00D57775">
      <w:pPr>
        <w:pStyle w:val="Heading2"/>
        <w:spacing w:line="240" w:lineRule="auto"/>
      </w:pPr>
      <w:bookmarkStart w:id="10" w:name="_Toc283295161"/>
      <w:bookmarkStart w:id="11" w:name="_Toc283404983"/>
      <w:r>
        <w:t>2.4. Okoliš</w:t>
      </w:r>
      <w:bookmarkEnd w:id="10"/>
      <w:bookmarkEnd w:id="11"/>
    </w:p>
    <w:p w:rsidR="00B92729" w:rsidRPr="00B92729" w:rsidRDefault="00B92729" w:rsidP="00B92729"/>
    <w:p w:rsidR="006C5AB9" w:rsidRDefault="0051173E" w:rsidP="00D57775">
      <w:pPr>
        <w:spacing w:line="240" w:lineRule="auto"/>
      </w:pPr>
      <w:r>
        <w:tab/>
        <w:t xml:space="preserve">Prirodni okoliš je sve što nas okružuje, a obuhvaća skup svih živih bića i nežive prirode koji zajedno funkcionalnu djeluju. Negativnim djelovanjem čovjeka na okoliš narušava se prirodna ravnoteža te se to pokazalo kao najvećim problemom današnjice. U </w:t>
      </w:r>
      <w:r>
        <w:lastRenderedPageBreak/>
        <w:t>svrhu zaštite negativnog utjecaja na okoliš razvijaju se znanosti među kojima je najznačajnija ekologija. Ekologija se bavi odnosima između živih organizama i okoline u kojoj žive.</w:t>
      </w:r>
      <w:r w:rsidR="00017BA5">
        <w:rPr>
          <w:rStyle w:val="FootnoteReference"/>
        </w:rPr>
        <w:footnoteReference w:id="6"/>
      </w:r>
    </w:p>
    <w:p w:rsidR="00017BA5" w:rsidRDefault="00017BA5" w:rsidP="00D57775">
      <w:pPr>
        <w:spacing w:line="240" w:lineRule="auto"/>
      </w:pPr>
    </w:p>
    <w:p w:rsidR="00017BA5" w:rsidRDefault="00017BA5" w:rsidP="00D57775">
      <w:pPr>
        <w:pStyle w:val="Heading3"/>
        <w:spacing w:line="240" w:lineRule="auto"/>
      </w:pPr>
      <w:bookmarkStart w:id="12" w:name="_Toc283295162"/>
      <w:bookmarkStart w:id="13" w:name="_Toc283404984"/>
      <w:r>
        <w:t>2.4.1. Pregled mogućih utjecaja na okoliš</w:t>
      </w:r>
      <w:bookmarkEnd w:id="12"/>
      <w:bookmarkEnd w:id="13"/>
    </w:p>
    <w:p w:rsidR="00B92729" w:rsidRPr="00B92729" w:rsidRDefault="00B92729" w:rsidP="00B92729"/>
    <w:p w:rsidR="00017BA5" w:rsidRDefault="00017BA5" w:rsidP="00D57775">
      <w:pPr>
        <w:spacing w:line="240" w:lineRule="auto"/>
      </w:pPr>
      <w:r>
        <w:tab/>
        <w:t>Stalnim djelovanjem čovjek utječe na sve elemente okoliša, odnosno:</w:t>
      </w:r>
      <w:r w:rsidRPr="00017BA5">
        <w:rPr>
          <w:rStyle w:val="FootnoteReference"/>
        </w:rPr>
        <w:t xml:space="preserve"> </w:t>
      </w:r>
      <w:r>
        <w:rPr>
          <w:rStyle w:val="FootnoteReference"/>
        </w:rPr>
        <w:footnoteReference w:id="7"/>
      </w:r>
    </w:p>
    <w:p w:rsidR="00017BA5" w:rsidRDefault="00017BA5" w:rsidP="00D57775">
      <w:pPr>
        <w:pStyle w:val="ListParagraph"/>
        <w:numPr>
          <w:ilvl w:val="0"/>
          <w:numId w:val="4"/>
        </w:numPr>
        <w:spacing w:line="240" w:lineRule="auto"/>
      </w:pPr>
      <w:r>
        <w:t>Krajobraz,</w:t>
      </w:r>
    </w:p>
    <w:p w:rsidR="00017BA5" w:rsidRDefault="00017BA5" w:rsidP="00D57775">
      <w:pPr>
        <w:pStyle w:val="ListParagraph"/>
        <w:numPr>
          <w:ilvl w:val="0"/>
          <w:numId w:val="4"/>
        </w:numPr>
        <w:spacing w:line="240" w:lineRule="auto"/>
      </w:pPr>
      <w:r>
        <w:t>Tlo,</w:t>
      </w:r>
    </w:p>
    <w:p w:rsidR="00017BA5" w:rsidRDefault="00017BA5" w:rsidP="00D57775">
      <w:pPr>
        <w:pStyle w:val="ListParagraph"/>
        <w:numPr>
          <w:ilvl w:val="0"/>
          <w:numId w:val="4"/>
        </w:numPr>
        <w:spacing w:line="240" w:lineRule="auto"/>
      </w:pPr>
      <w:r>
        <w:t>Flora,</w:t>
      </w:r>
    </w:p>
    <w:p w:rsidR="00017BA5" w:rsidRDefault="00017BA5" w:rsidP="00D57775">
      <w:pPr>
        <w:pStyle w:val="ListParagraph"/>
        <w:numPr>
          <w:ilvl w:val="0"/>
          <w:numId w:val="4"/>
        </w:numPr>
        <w:spacing w:line="240" w:lineRule="auto"/>
      </w:pPr>
      <w:r>
        <w:t>Fauna,</w:t>
      </w:r>
    </w:p>
    <w:p w:rsidR="00017BA5" w:rsidRDefault="00017BA5" w:rsidP="00D57775">
      <w:pPr>
        <w:pStyle w:val="ListParagraph"/>
        <w:numPr>
          <w:ilvl w:val="0"/>
          <w:numId w:val="4"/>
        </w:numPr>
        <w:spacing w:line="240" w:lineRule="auto"/>
      </w:pPr>
      <w:r>
        <w:t>Divljač i lovstvo,</w:t>
      </w:r>
    </w:p>
    <w:p w:rsidR="00017BA5" w:rsidRDefault="00017BA5" w:rsidP="00D57775">
      <w:pPr>
        <w:pStyle w:val="ListParagraph"/>
        <w:numPr>
          <w:ilvl w:val="0"/>
          <w:numId w:val="4"/>
        </w:numPr>
        <w:spacing w:line="240" w:lineRule="auto"/>
      </w:pPr>
      <w:r>
        <w:t>Zrak,</w:t>
      </w:r>
    </w:p>
    <w:p w:rsidR="00017BA5" w:rsidRDefault="00017BA5" w:rsidP="00D57775">
      <w:pPr>
        <w:pStyle w:val="ListParagraph"/>
        <w:numPr>
          <w:ilvl w:val="0"/>
          <w:numId w:val="4"/>
        </w:numPr>
        <w:spacing w:line="240" w:lineRule="auto"/>
      </w:pPr>
      <w:r>
        <w:t>Razina buke,</w:t>
      </w:r>
    </w:p>
    <w:p w:rsidR="00017BA5" w:rsidRDefault="00017BA5" w:rsidP="00D57775">
      <w:pPr>
        <w:pStyle w:val="ListParagraph"/>
        <w:numPr>
          <w:ilvl w:val="0"/>
          <w:numId w:val="4"/>
        </w:numPr>
        <w:spacing w:line="240" w:lineRule="auto"/>
      </w:pPr>
      <w:r>
        <w:t>Prirodno i kulturno – povijesne vrijednosti,</w:t>
      </w:r>
    </w:p>
    <w:p w:rsidR="006C5AB9" w:rsidRDefault="00017BA5" w:rsidP="00D57775">
      <w:pPr>
        <w:pStyle w:val="ListParagraph"/>
        <w:numPr>
          <w:ilvl w:val="0"/>
          <w:numId w:val="4"/>
        </w:numPr>
        <w:spacing w:line="240" w:lineRule="auto"/>
      </w:pPr>
      <w:r>
        <w:t>Infrastrukturu.</w:t>
      </w:r>
    </w:p>
    <w:p w:rsidR="00017BA5" w:rsidRDefault="00017BA5" w:rsidP="00D57775">
      <w:pPr>
        <w:pStyle w:val="Heading3"/>
        <w:spacing w:line="240" w:lineRule="auto"/>
      </w:pPr>
      <w:bookmarkStart w:id="14" w:name="_Toc283295163"/>
      <w:bookmarkStart w:id="15" w:name="_Toc283404985"/>
      <w:r>
        <w:t>2.4.2. Mjere zaštite okoliša</w:t>
      </w:r>
      <w:bookmarkEnd w:id="14"/>
      <w:bookmarkEnd w:id="15"/>
    </w:p>
    <w:p w:rsidR="00B92729" w:rsidRPr="00B92729" w:rsidRDefault="00B92729" w:rsidP="00B92729"/>
    <w:p w:rsidR="00017BA5" w:rsidRDefault="00017BA5" w:rsidP="00D57775">
      <w:pPr>
        <w:spacing w:line="240" w:lineRule="auto"/>
      </w:pPr>
      <w:r>
        <w:tab/>
        <w:t>Mjere zaštite okoliša se mogu provoditi tijekom pripreme zahvata, tijekom izgradnje i tijekom korištenja. Neke od mjera zaštite okoliša u navedenim fazama su mjere zaštite divljači, mjere zaštite krajobraza, mjere zaštite tla, mjere zaštite šumskih ekosustava i slično.</w:t>
      </w:r>
      <w:r>
        <w:rPr>
          <w:rStyle w:val="FootnoteReference"/>
        </w:rPr>
        <w:footnoteReference w:id="8"/>
      </w:r>
    </w:p>
    <w:p w:rsidR="007D2364" w:rsidRDefault="007D2364" w:rsidP="00D57775">
      <w:pPr>
        <w:spacing w:line="240" w:lineRule="auto"/>
      </w:pPr>
    </w:p>
    <w:p w:rsidR="007D2364" w:rsidRDefault="007D2364" w:rsidP="00D57775">
      <w:pPr>
        <w:spacing w:line="240" w:lineRule="auto"/>
      </w:pPr>
    </w:p>
    <w:p w:rsidR="00B92729" w:rsidRDefault="00B92729" w:rsidP="00D57775">
      <w:pPr>
        <w:spacing w:line="240" w:lineRule="auto"/>
      </w:pPr>
    </w:p>
    <w:p w:rsidR="00B92729" w:rsidRDefault="00B92729" w:rsidP="00D57775">
      <w:pPr>
        <w:spacing w:line="240" w:lineRule="auto"/>
      </w:pPr>
    </w:p>
    <w:p w:rsidR="00B92729" w:rsidRDefault="00B92729" w:rsidP="00D57775">
      <w:pPr>
        <w:spacing w:line="240" w:lineRule="auto"/>
      </w:pPr>
    </w:p>
    <w:p w:rsidR="00B92729" w:rsidRDefault="00B92729" w:rsidP="00D57775">
      <w:pPr>
        <w:spacing w:line="240" w:lineRule="auto"/>
      </w:pPr>
    </w:p>
    <w:p w:rsidR="00B92729" w:rsidRDefault="00B92729" w:rsidP="00D57775">
      <w:pPr>
        <w:spacing w:line="240" w:lineRule="auto"/>
      </w:pPr>
    </w:p>
    <w:p w:rsidR="00B92729" w:rsidRDefault="00B92729" w:rsidP="00D57775">
      <w:pPr>
        <w:spacing w:line="240" w:lineRule="auto"/>
      </w:pPr>
    </w:p>
    <w:p w:rsidR="00B92729" w:rsidRDefault="00B92729" w:rsidP="00D57775">
      <w:pPr>
        <w:spacing w:line="240" w:lineRule="auto"/>
      </w:pPr>
    </w:p>
    <w:p w:rsidR="00B92729" w:rsidRDefault="00B92729" w:rsidP="00D57775">
      <w:pPr>
        <w:spacing w:line="240" w:lineRule="auto"/>
      </w:pPr>
    </w:p>
    <w:p w:rsidR="00B92729" w:rsidRDefault="00B92729" w:rsidP="00D57775">
      <w:pPr>
        <w:spacing w:line="240" w:lineRule="auto"/>
      </w:pPr>
    </w:p>
    <w:p w:rsidR="00B92729" w:rsidRDefault="00B92729" w:rsidP="00D57775">
      <w:pPr>
        <w:spacing w:line="240" w:lineRule="auto"/>
      </w:pPr>
    </w:p>
    <w:p w:rsidR="00B92729" w:rsidRDefault="00B92729" w:rsidP="00D57775">
      <w:pPr>
        <w:spacing w:line="240" w:lineRule="auto"/>
      </w:pPr>
    </w:p>
    <w:p w:rsidR="00B92729" w:rsidRDefault="00B92729" w:rsidP="00D57775">
      <w:pPr>
        <w:spacing w:line="240" w:lineRule="auto"/>
      </w:pPr>
    </w:p>
    <w:p w:rsidR="00B92729" w:rsidRDefault="00B92729" w:rsidP="00D57775">
      <w:pPr>
        <w:spacing w:line="240" w:lineRule="auto"/>
      </w:pPr>
    </w:p>
    <w:p w:rsidR="00B92729" w:rsidRDefault="00B92729" w:rsidP="00D57775">
      <w:pPr>
        <w:spacing w:line="240" w:lineRule="auto"/>
      </w:pPr>
    </w:p>
    <w:p w:rsidR="00B92729" w:rsidRDefault="00B92729" w:rsidP="00D57775">
      <w:pPr>
        <w:spacing w:line="240" w:lineRule="auto"/>
      </w:pPr>
    </w:p>
    <w:p w:rsidR="00B92729" w:rsidRDefault="00B92729" w:rsidP="00D57775">
      <w:pPr>
        <w:spacing w:line="240" w:lineRule="auto"/>
      </w:pPr>
    </w:p>
    <w:p w:rsidR="00B92729" w:rsidRDefault="00B92729" w:rsidP="00D57775">
      <w:pPr>
        <w:spacing w:line="240" w:lineRule="auto"/>
      </w:pPr>
    </w:p>
    <w:p w:rsidR="00B92729" w:rsidRDefault="00B92729" w:rsidP="00D57775">
      <w:pPr>
        <w:spacing w:line="240" w:lineRule="auto"/>
      </w:pPr>
    </w:p>
    <w:p w:rsidR="00B92729" w:rsidRDefault="00B92729" w:rsidP="00D57775">
      <w:pPr>
        <w:spacing w:line="240" w:lineRule="auto"/>
      </w:pPr>
    </w:p>
    <w:p w:rsidR="007D2364" w:rsidRDefault="0087749E" w:rsidP="00D57775">
      <w:pPr>
        <w:pStyle w:val="Heading1"/>
        <w:spacing w:line="240" w:lineRule="auto"/>
      </w:pPr>
      <w:bookmarkStart w:id="16" w:name="_Toc283295164"/>
      <w:bookmarkStart w:id="17" w:name="_Toc283404986"/>
      <w:r>
        <w:lastRenderedPageBreak/>
        <w:t>3. UTJECAJ ŽELJEZNIČKE INFRASTRUKTURE NA OKOLIŠ</w:t>
      </w:r>
      <w:bookmarkEnd w:id="16"/>
      <w:bookmarkEnd w:id="17"/>
    </w:p>
    <w:p w:rsidR="0087749E" w:rsidRDefault="0087749E" w:rsidP="00D57775">
      <w:pPr>
        <w:spacing w:line="240" w:lineRule="auto"/>
      </w:pPr>
    </w:p>
    <w:p w:rsidR="006A75CC" w:rsidRDefault="0087749E" w:rsidP="00D57775">
      <w:pPr>
        <w:spacing w:line="240" w:lineRule="auto"/>
      </w:pPr>
      <w:r>
        <w:tab/>
      </w:r>
      <w:r w:rsidR="006A75CC">
        <w:t>Željeznički promet prema trima glavnim utjecajnim čimbenicima degradiranja okoliša – onečišćenju zraka, zauzimanju površina i utrošku energije, predstavlja najpovoljniji oblik prometa. Imajući na umu tu činjenicu, smatra se da željeznica ima zanemarujući udio u onečišćenju okoliša, no proučavanje i takve količine ima važnu ulogu za sigurnost prometa, život prirode i ljudi.</w:t>
      </w:r>
      <w:r w:rsidR="006A75CC">
        <w:rPr>
          <w:rStyle w:val="FootnoteReference"/>
        </w:rPr>
        <w:footnoteReference w:id="9"/>
      </w:r>
      <w:r w:rsidR="00C01FDF">
        <w:t xml:space="preserve"> Potrebe zaštite okoliša podrazumijevaju potrebu primjenjivanja strogih uvjeta za izgradnju nove željezničke infrastrukture, a to je proces koji može ugroziti njezin razvoj, u nekim slučajevima čak spriječiti ga.</w:t>
      </w:r>
      <w:r w:rsidR="00C01FDF">
        <w:rPr>
          <w:rStyle w:val="FootnoteReference"/>
        </w:rPr>
        <w:footnoteReference w:id="10"/>
      </w:r>
      <w:r w:rsidR="00C01FDF">
        <w:t xml:space="preserve"> </w:t>
      </w:r>
    </w:p>
    <w:p w:rsidR="00C01FDF" w:rsidRDefault="00C01FDF" w:rsidP="00D57775">
      <w:pPr>
        <w:spacing w:line="240" w:lineRule="auto"/>
      </w:pPr>
    </w:p>
    <w:p w:rsidR="00DB7EF8" w:rsidRDefault="00DB7EF8" w:rsidP="00D57775">
      <w:pPr>
        <w:pStyle w:val="Heading2"/>
        <w:spacing w:line="240" w:lineRule="auto"/>
      </w:pPr>
      <w:bookmarkStart w:id="18" w:name="_Toc283295165"/>
      <w:bookmarkStart w:id="19" w:name="_Toc283404987"/>
      <w:r>
        <w:t>3.1. Komparacija utjecaja na okoliš željezničkog prometa s ostalim prometnim granama</w:t>
      </w:r>
      <w:bookmarkEnd w:id="18"/>
      <w:bookmarkEnd w:id="19"/>
    </w:p>
    <w:p w:rsidR="00B92729" w:rsidRPr="00B92729" w:rsidRDefault="00B92729" w:rsidP="00B92729"/>
    <w:p w:rsidR="00DB7EF8" w:rsidRDefault="00DB7EF8" w:rsidP="00D57775">
      <w:pPr>
        <w:spacing w:line="240" w:lineRule="auto"/>
        <w:rPr>
          <w:rFonts w:cs="Times New Roman"/>
          <w:szCs w:val="24"/>
        </w:rPr>
      </w:pPr>
      <w:r>
        <w:tab/>
      </w:r>
      <w:r w:rsidR="00E638A5">
        <w:t>Promet je jedan od najvećih zagađivača atmosfere. Uzrokuje 50% emisije atmosferskih zagađivanja.</w:t>
      </w:r>
      <w:r w:rsidR="000A1905">
        <w:rPr>
          <w:rFonts w:cs="Times New Roman"/>
          <w:szCs w:val="24"/>
        </w:rPr>
        <w:t xml:space="preserve"> Izgaranjem fosilnoga goriva u atmosferu se ispuštaju otpadne tvari, štetne za okoliš, i to u količinama većim nego što mogu biti razgrađeni prirodnim putem. Status glavnog zagađivača uvjerljivo pripada cestovnom prometu, dok željeznica spada u kategoriju manjih onečišćivača okoliša.</w:t>
      </w:r>
      <w:r w:rsidR="000A1905" w:rsidRPr="000A1905">
        <w:rPr>
          <w:rStyle w:val="FootnoteReference"/>
        </w:rPr>
        <w:t xml:space="preserve"> </w:t>
      </w:r>
      <w:r w:rsidR="000A1905">
        <w:rPr>
          <w:rStyle w:val="FootnoteReference"/>
        </w:rPr>
        <w:footnoteReference w:id="11"/>
      </w:r>
      <w:r w:rsidR="000A1905" w:rsidRPr="000A1905">
        <w:t xml:space="preserve"> </w:t>
      </w:r>
      <w:r w:rsidR="000A1905">
        <w:t>Promet kao sustav participira 30% u emisiji CO</w:t>
      </w:r>
      <w:r w:rsidR="000A1905">
        <w:rPr>
          <w:rFonts w:cs="Times New Roman"/>
          <w:sz w:val="12"/>
          <w:szCs w:val="12"/>
        </w:rPr>
        <w:t xml:space="preserve">2,  </w:t>
      </w:r>
      <w:r w:rsidR="000A1905">
        <w:rPr>
          <w:rFonts w:cs="Times New Roman"/>
          <w:szCs w:val="24"/>
        </w:rPr>
        <w:t>a pri tome na cestovni promet otpada 80% iste emisije.</w:t>
      </w:r>
      <w:r w:rsidR="000A1905" w:rsidRPr="000A1905">
        <w:rPr>
          <w:rStyle w:val="FootnoteReference"/>
          <w:rFonts w:cs="Times New Roman"/>
          <w:szCs w:val="24"/>
        </w:rPr>
        <w:t xml:space="preserve"> </w:t>
      </w:r>
      <w:r w:rsidR="000A1905">
        <w:rPr>
          <w:rStyle w:val="FootnoteReference"/>
          <w:rFonts w:cs="Times New Roman"/>
          <w:szCs w:val="24"/>
        </w:rPr>
        <w:footnoteReference w:id="12"/>
      </w:r>
    </w:p>
    <w:p w:rsidR="000A1905" w:rsidRDefault="000A1905" w:rsidP="00D57775">
      <w:pPr>
        <w:spacing w:line="240" w:lineRule="auto"/>
        <w:rPr>
          <w:rFonts w:cs="Times New Roman"/>
          <w:szCs w:val="24"/>
        </w:rPr>
      </w:pPr>
    </w:p>
    <w:p w:rsidR="000A1905" w:rsidRDefault="000A1905" w:rsidP="00D57775">
      <w:pPr>
        <w:spacing w:line="240" w:lineRule="auto"/>
        <w:rPr>
          <w:rFonts w:cs="Times New Roman"/>
          <w:szCs w:val="24"/>
        </w:rPr>
      </w:pPr>
      <w:r>
        <w:rPr>
          <w:rFonts w:cs="Times New Roman"/>
          <w:szCs w:val="24"/>
        </w:rPr>
        <w:t>Tablica 1: Udio emisije štetnih plinova po prometnim granama (%)</w:t>
      </w:r>
    </w:p>
    <w:tbl>
      <w:tblPr>
        <w:tblStyle w:val="ColorfulGrid-Accent1"/>
        <w:tblW w:w="9339" w:type="dxa"/>
        <w:tblLook w:val="04A0"/>
      </w:tblPr>
      <w:tblGrid>
        <w:gridCol w:w="1857"/>
        <w:gridCol w:w="2079"/>
        <w:gridCol w:w="1842"/>
        <w:gridCol w:w="1701"/>
        <w:gridCol w:w="1860"/>
      </w:tblGrid>
      <w:tr w:rsidR="000A1905" w:rsidRPr="000A1905" w:rsidTr="000A1905">
        <w:trPr>
          <w:cnfStyle w:val="100000000000"/>
        </w:trPr>
        <w:tc>
          <w:tcPr>
            <w:cnfStyle w:val="001000000000"/>
            <w:tcW w:w="1857" w:type="dxa"/>
          </w:tcPr>
          <w:p w:rsidR="000A1905" w:rsidRPr="000A1905" w:rsidRDefault="000A1905" w:rsidP="00D57775">
            <w:pPr>
              <w:spacing w:line="240" w:lineRule="auto"/>
              <w:jc w:val="center"/>
              <w:rPr>
                <w:rFonts w:cs="Times New Roman"/>
                <w:sz w:val="24"/>
                <w:szCs w:val="24"/>
              </w:rPr>
            </w:pPr>
            <w:r w:rsidRPr="000A1905">
              <w:rPr>
                <w:rFonts w:cs="Times New Roman"/>
                <w:sz w:val="24"/>
                <w:szCs w:val="24"/>
              </w:rPr>
              <w:t>Štetni sastojak</w:t>
            </w:r>
          </w:p>
        </w:tc>
        <w:tc>
          <w:tcPr>
            <w:tcW w:w="2079" w:type="dxa"/>
          </w:tcPr>
          <w:p w:rsidR="000A1905" w:rsidRPr="000A1905" w:rsidRDefault="000A1905" w:rsidP="00D57775">
            <w:pPr>
              <w:spacing w:line="240" w:lineRule="auto"/>
              <w:jc w:val="center"/>
              <w:cnfStyle w:val="100000000000"/>
              <w:rPr>
                <w:rFonts w:cs="Times New Roman"/>
              </w:rPr>
            </w:pPr>
            <w:r w:rsidRPr="000A1905">
              <w:rPr>
                <w:rFonts w:cs="Times New Roman"/>
              </w:rPr>
              <w:t>Željeznički promet</w:t>
            </w:r>
          </w:p>
        </w:tc>
        <w:tc>
          <w:tcPr>
            <w:tcW w:w="1842" w:type="dxa"/>
          </w:tcPr>
          <w:p w:rsidR="000A1905" w:rsidRPr="000A1905" w:rsidRDefault="000A1905" w:rsidP="00D57775">
            <w:pPr>
              <w:spacing w:line="240" w:lineRule="auto"/>
              <w:jc w:val="center"/>
              <w:cnfStyle w:val="100000000000"/>
              <w:rPr>
                <w:rFonts w:cs="Times New Roman"/>
              </w:rPr>
            </w:pPr>
            <w:r w:rsidRPr="000A1905">
              <w:rPr>
                <w:rFonts w:cs="Times New Roman"/>
              </w:rPr>
              <w:t>Cestovni promet</w:t>
            </w:r>
          </w:p>
        </w:tc>
        <w:tc>
          <w:tcPr>
            <w:tcW w:w="1701" w:type="dxa"/>
          </w:tcPr>
          <w:p w:rsidR="000A1905" w:rsidRPr="000A1905" w:rsidRDefault="000A1905" w:rsidP="00D57775">
            <w:pPr>
              <w:spacing w:line="240" w:lineRule="auto"/>
              <w:jc w:val="center"/>
              <w:cnfStyle w:val="100000000000"/>
              <w:rPr>
                <w:rFonts w:cs="Times New Roman"/>
              </w:rPr>
            </w:pPr>
            <w:r w:rsidRPr="000A1905">
              <w:rPr>
                <w:rFonts w:cs="Times New Roman"/>
              </w:rPr>
              <w:t>Zračni promet</w:t>
            </w:r>
          </w:p>
        </w:tc>
        <w:tc>
          <w:tcPr>
            <w:tcW w:w="1860" w:type="dxa"/>
          </w:tcPr>
          <w:p w:rsidR="000A1905" w:rsidRPr="000A1905" w:rsidRDefault="000A1905" w:rsidP="00D57775">
            <w:pPr>
              <w:spacing w:line="240" w:lineRule="auto"/>
              <w:jc w:val="center"/>
              <w:cnfStyle w:val="100000000000"/>
              <w:rPr>
                <w:rFonts w:cs="Times New Roman"/>
              </w:rPr>
            </w:pPr>
            <w:r w:rsidRPr="000A1905">
              <w:rPr>
                <w:rFonts w:cs="Times New Roman"/>
              </w:rPr>
              <w:t>Vodeni promet</w:t>
            </w:r>
          </w:p>
        </w:tc>
      </w:tr>
      <w:tr w:rsidR="000A1905" w:rsidRPr="000A1905" w:rsidTr="000A1905">
        <w:trPr>
          <w:cnfStyle w:val="000000100000"/>
        </w:trPr>
        <w:tc>
          <w:tcPr>
            <w:cnfStyle w:val="001000000000"/>
            <w:tcW w:w="1857" w:type="dxa"/>
          </w:tcPr>
          <w:p w:rsidR="000A1905" w:rsidRPr="000A1905" w:rsidRDefault="000A1905" w:rsidP="00D57775">
            <w:pPr>
              <w:spacing w:line="240" w:lineRule="auto"/>
              <w:rPr>
                <w:rFonts w:cs="Times New Roman"/>
                <w:sz w:val="20"/>
                <w:szCs w:val="20"/>
              </w:rPr>
            </w:pPr>
            <w:r w:rsidRPr="000A1905">
              <w:rPr>
                <w:rFonts w:cs="Times New Roman"/>
                <w:sz w:val="20"/>
                <w:szCs w:val="20"/>
              </w:rPr>
              <w:t xml:space="preserve">Ugljični monoksid </w:t>
            </w:r>
          </w:p>
        </w:tc>
        <w:tc>
          <w:tcPr>
            <w:tcW w:w="2079" w:type="dxa"/>
          </w:tcPr>
          <w:p w:rsidR="000A1905" w:rsidRPr="000A1905" w:rsidRDefault="000A1905" w:rsidP="00D57775">
            <w:pPr>
              <w:spacing w:line="240" w:lineRule="auto"/>
              <w:jc w:val="center"/>
              <w:cnfStyle w:val="000000100000"/>
              <w:rPr>
                <w:rFonts w:cs="Times New Roman"/>
                <w:sz w:val="24"/>
                <w:szCs w:val="24"/>
              </w:rPr>
            </w:pPr>
            <w:r>
              <w:rPr>
                <w:rFonts w:cs="Times New Roman"/>
                <w:sz w:val="24"/>
                <w:szCs w:val="24"/>
              </w:rPr>
              <w:t>1</w:t>
            </w:r>
          </w:p>
        </w:tc>
        <w:tc>
          <w:tcPr>
            <w:tcW w:w="1842" w:type="dxa"/>
          </w:tcPr>
          <w:p w:rsidR="000A1905" w:rsidRPr="000A1905" w:rsidRDefault="000A1905" w:rsidP="00D57775">
            <w:pPr>
              <w:spacing w:line="240" w:lineRule="auto"/>
              <w:jc w:val="center"/>
              <w:cnfStyle w:val="000000100000"/>
              <w:rPr>
                <w:rFonts w:cs="Times New Roman"/>
                <w:sz w:val="24"/>
                <w:szCs w:val="24"/>
              </w:rPr>
            </w:pPr>
            <w:r>
              <w:rPr>
                <w:rFonts w:cs="Times New Roman"/>
                <w:sz w:val="24"/>
                <w:szCs w:val="24"/>
              </w:rPr>
              <w:t>98</w:t>
            </w:r>
          </w:p>
        </w:tc>
        <w:tc>
          <w:tcPr>
            <w:tcW w:w="1701" w:type="dxa"/>
          </w:tcPr>
          <w:p w:rsidR="000A1905" w:rsidRPr="000A1905" w:rsidRDefault="000A1905" w:rsidP="00D57775">
            <w:pPr>
              <w:spacing w:line="240" w:lineRule="auto"/>
              <w:jc w:val="center"/>
              <w:cnfStyle w:val="000000100000"/>
              <w:rPr>
                <w:rFonts w:cs="Times New Roman"/>
                <w:sz w:val="24"/>
                <w:szCs w:val="24"/>
              </w:rPr>
            </w:pPr>
            <w:r>
              <w:rPr>
                <w:rFonts w:cs="Times New Roman"/>
                <w:sz w:val="24"/>
                <w:szCs w:val="24"/>
              </w:rPr>
              <w:t>0,3</w:t>
            </w:r>
          </w:p>
        </w:tc>
        <w:tc>
          <w:tcPr>
            <w:tcW w:w="1860" w:type="dxa"/>
          </w:tcPr>
          <w:p w:rsidR="000A1905" w:rsidRPr="000A1905" w:rsidRDefault="000A1905" w:rsidP="00D57775">
            <w:pPr>
              <w:spacing w:line="240" w:lineRule="auto"/>
              <w:jc w:val="center"/>
              <w:cnfStyle w:val="000000100000"/>
              <w:rPr>
                <w:rFonts w:cs="Times New Roman"/>
                <w:sz w:val="24"/>
                <w:szCs w:val="24"/>
              </w:rPr>
            </w:pPr>
            <w:r>
              <w:rPr>
                <w:rFonts w:cs="Times New Roman"/>
                <w:sz w:val="24"/>
                <w:szCs w:val="24"/>
              </w:rPr>
              <w:t>0,2</w:t>
            </w:r>
          </w:p>
        </w:tc>
      </w:tr>
      <w:tr w:rsidR="000A1905" w:rsidRPr="000A1905" w:rsidTr="000A1905">
        <w:tc>
          <w:tcPr>
            <w:cnfStyle w:val="001000000000"/>
            <w:tcW w:w="1857" w:type="dxa"/>
          </w:tcPr>
          <w:p w:rsidR="000A1905" w:rsidRPr="000A1905" w:rsidRDefault="000A1905" w:rsidP="00D57775">
            <w:pPr>
              <w:spacing w:line="240" w:lineRule="auto"/>
              <w:rPr>
                <w:rFonts w:cs="Times New Roman"/>
                <w:sz w:val="20"/>
                <w:szCs w:val="20"/>
              </w:rPr>
            </w:pPr>
            <w:r w:rsidRPr="000A1905">
              <w:rPr>
                <w:rFonts w:cs="Times New Roman"/>
                <w:sz w:val="20"/>
                <w:szCs w:val="20"/>
              </w:rPr>
              <w:t>Dušični oksid</w:t>
            </w:r>
          </w:p>
        </w:tc>
        <w:tc>
          <w:tcPr>
            <w:tcW w:w="2079" w:type="dxa"/>
          </w:tcPr>
          <w:p w:rsidR="000A1905" w:rsidRPr="000A1905" w:rsidRDefault="000A1905" w:rsidP="00D57775">
            <w:pPr>
              <w:spacing w:line="240" w:lineRule="auto"/>
              <w:jc w:val="center"/>
              <w:cnfStyle w:val="000000000000"/>
              <w:rPr>
                <w:rFonts w:cs="Times New Roman"/>
                <w:sz w:val="24"/>
                <w:szCs w:val="24"/>
              </w:rPr>
            </w:pPr>
            <w:r>
              <w:rPr>
                <w:rFonts w:cs="Times New Roman"/>
                <w:sz w:val="24"/>
                <w:szCs w:val="24"/>
              </w:rPr>
              <w:t>4</w:t>
            </w:r>
          </w:p>
        </w:tc>
        <w:tc>
          <w:tcPr>
            <w:tcW w:w="1842" w:type="dxa"/>
          </w:tcPr>
          <w:p w:rsidR="000A1905" w:rsidRPr="000A1905" w:rsidRDefault="000A1905" w:rsidP="00D57775">
            <w:pPr>
              <w:spacing w:line="240" w:lineRule="auto"/>
              <w:jc w:val="center"/>
              <w:cnfStyle w:val="000000000000"/>
              <w:rPr>
                <w:rFonts w:cs="Times New Roman"/>
                <w:sz w:val="24"/>
                <w:szCs w:val="24"/>
              </w:rPr>
            </w:pPr>
            <w:r>
              <w:rPr>
                <w:rFonts w:cs="Times New Roman"/>
                <w:sz w:val="24"/>
                <w:szCs w:val="24"/>
              </w:rPr>
              <w:t>90,5</w:t>
            </w:r>
          </w:p>
        </w:tc>
        <w:tc>
          <w:tcPr>
            <w:tcW w:w="1701" w:type="dxa"/>
          </w:tcPr>
          <w:p w:rsidR="000A1905" w:rsidRPr="000A1905" w:rsidRDefault="000A1905" w:rsidP="00D57775">
            <w:pPr>
              <w:spacing w:line="240" w:lineRule="auto"/>
              <w:jc w:val="center"/>
              <w:cnfStyle w:val="000000000000"/>
              <w:rPr>
                <w:rFonts w:cs="Times New Roman"/>
                <w:sz w:val="24"/>
                <w:szCs w:val="24"/>
              </w:rPr>
            </w:pPr>
            <w:r>
              <w:rPr>
                <w:rFonts w:cs="Times New Roman"/>
                <w:sz w:val="24"/>
                <w:szCs w:val="24"/>
              </w:rPr>
              <w:t>0,5</w:t>
            </w:r>
          </w:p>
        </w:tc>
        <w:tc>
          <w:tcPr>
            <w:tcW w:w="1860" w:type="dxa"/>
          </w:tcPr>
          <w:p w:rsidR="000A1905" w:rsidRPr="000A1905" w:rsidRDefault="000A1905" w:rsidP="00D57775">
            <w:pPr>
              <w:spacing w:line="240" w:lineRule="auto"/>
              <w:jc w:val="center"/>
              <w:cnfStyle w:val="000000000000"/>
              <w:rPr>
                <w:rFonts w:cs="Times New Roman"/>
                <w:sz w:val="24"/>
                <w:szCs w:val="24"/>
              </w:rPr>
            </w:pPr>
            <w:r>
              <w:rPr>
                <w:rFonts w:cs="Times New Roman"/>
                <w:sz w:val="24"/>
                <w:szCs w:val="24"/>
              </w:rPr>
              <w:t>5</w:t>
            </w:r>
          </w:p>
        </w:tc>
      </w:tr>
      <w:tr w:rsidR="000A1905" w:rsidRPr="000A1905" w:rsidTr="000A1905">
        <w:trPr>
          <w:cnfStyle w:val="000000100000"/>
        </w:trPr>
        <w:tc>
          <w:tcPr>
            <w:cnfStyle w:val="001000000000"/>
            <w:tcW w:w="1857" w:type="dxa"/>
          </w:tcPr>
          <w:p w:rsidR="000A1905" w:rsidRPr="000A1905" w:rsidRDefault="000A1905" w:rsidP="00D57775">
            <w:pPr>
              <w:spacing w:line="240" w:lineRule="auto"/>
              <w:rPr>
                <w:rFonts w:cs="Times New Roman"/>
                <w:sz w:val="20"/>
                <w:szCs w:val="20"/>
              </w:rPr>
            </w:pPr>
            <w:r w:rsidRPr="000A1905">
              <w:rPr>
                <w:rFonts w:cs="Times New Roman"/>
                <w:sz w:val="20"/>
                <w:szCs w:val="20"/>
              </w:rPr>
              <w:t>Ugljikovodik</w:t>
            </w:r>
          </w:p>
        </w:tc>
        <w:tc>
          <w:tcPr>
            <w:tcW w:w="2079" w:type="dxa"/>
          </w:tcPr>
          <w:p w:rsidR="000A1905" w:rsidRPr="000A1905" w:rsidRDefault="000A1905" w:rsidP="00D57775">
            <w:pPr>
              <w:spacing w:line="240" w:lineRule="auto"/>
              <w:jc w:val="center"/>
              <w:cnfStyle w:val="000000100000"/>
              <w:rPr>
                <w:rFonts w:cs="Times New Roman"/>
                <w:sz w:val="24"/>
                <w:szCs w:val="24"/>
              </w:rPr>
            </w:pPr>
            <w:r>
              <w:rPr>
                <w:rFonts w:cs="Times New Roman"/>
                <w:sz w:val="24"/>
                <w:szCs w:val="24"/>
              </w:rPr>
              <w:t>1</w:t>
            </w:r>
          </w:p>
        </w:tc>
        <w:tc>
          <w:tcPr>
            <w:tcW w:w="1842" w:type="dxa"/>
          </w:tcPr>
          <w:p w:rsidR="000A1905" w:rsidRPr="000A1905" w:rsidRDefault="000A1905" w:rsidP="00D57775">
            <w:pPr>
              <w:spacing w:line="240" w:lineRule="auto"/>
              <w:jc w:val="center"/>
              <w:cnfStyle w:val="000000100000"/>
              <w:rPr>
                <w:rFonts w:cs="Times New Roman"/>
                <w:sz w:val="24"/>
                <w:szCs w:val="24"/>
              </w:rPr>
            </w:pPr>
            <w:r>
              <w:rPr>
                <w:rFonts w:cs="Times New Roman"/>
                <w:sz w:val="24"/>
                <w:szCs w:val="24"/>
              </w:rPr>
              <w:t>95</w:t>
            </w:r>
          </w:p>
        </w:tc>
        <w:tc>
          <w:tcPr>
            <w:tcW w:w="1701" w:type="dxa"/>
          </w:tcPr>
          <w:p w:rsidR="000A1905" w:rsidRPr="000A1905" w:rsidRDefault="000A1905" w:rsidP="00D57775">
            <w:pPr>
              <w:spacing w:line="240" w:lineRule="auto"/>
              <w:jc w:val="center"/>
              <w:cnfStyle w:val="000000100000"/>
              <w:rPr>
                <w:rFonts w:cs="Times New Roman"/>
                <w:sz w:val="24"/>
                <w:szCs w:val="24"/>
              </w:rPr>
            </w:pPr>
            <w:r>
              <w:rPr>
                <w:rFonts w:cs="Times New Roman"/>
                <w:sz w:val="24"/>
                <w:szCs w:val="24"/>
              </w:rPr>
              <w:t>1</w:t>
            </w:r>
          </w:p>
        </w:tc>
        <w:tc>
          <w:tcPr>
            <w:tcW w:w="1860" w:type="dxa"/>
          </w:tcPr>
          <w:p w:rsidR="000A1905" w:rsidRPr="000A1905" w:rsidRDefault="000A1905" w:rsidP="00D57775">
            <w:pPr>
              <w:spacing w:line="240" w:lineRule="auto"/>
              <w:jc w:val="center"/>
              <w:cnfStyle w:val="000000100000"/>
              <w:rPr>
                <w:rFonts w:cs="Times New Roman"/>
                <w:sz w:val="24"/>
                <w:szCs w:val="24"/>
              </w:rPr>
            </w:pPr>
            <w:r>
              <w:rPr>
                <w:rFonts w:cs="Times New Roman"/>
                <w:sz w:val="24"/>
                <w:szCs w:val="24"/>
              </w:rPr>
              <w:t>3</w:t>
            </w:r>
          </w:p>
        </w:tc>
      </w:tr>
      <w:tr w:rsidR="000A1905" w:rsidRPr="000A1905" w:rsidTr="000A1905">
        <w:tc>
          <w:tcPr>
            <w:cnfStyle w:val="001000000000"/>
            <w:tcW w:w="1857" w:type="dxa"/>
          </w:tcPr>
          <w:p w:rsidR="000A1905" w:rsidRPr="000A1905" w:rsidRDefault="000A1905" w:rsidP="00D57775">
            <w:pPr>
              <w:spacing w:line="240" w:lineRule="auto"/>
              <w:rPr>
                <w:rFonts w:cs="Times New Roman"/>
                <w:sz w:val="20"/>
                <w:szCs w:val="20"/>
              </w:rPr>
            </w:pPr>
            <w:r w:rsidRPr="000A1905">
              <w:rPr>
                <w:rFonts w:cs="Times New Roman"/>
                <w:sz w:val="20"/>
                <w:szCs w:val="20"/>
              </w:rPr>
              <w:t>Ugljični dioksid</w:t>
            </w:r>
          </w:p>
        </w:tc>
        <w:tc>
          <w:tcPr>
            <w:tcW w:w="2079" w:type="dxa"/>
          </w:tcPr>
          <w:p w:rsidR="000A1905" w:rsidRPr="000A1905" w:rsidRDefault="000A1905" w:rsidP="00D57775">
            <w:pPr>
              <w:spacing w:line="240" w:lineRule="auto"/>
              <w:jc w:val="center"/>
              <w:cnfStyle w:val="000000000000"/>
              <w:rPr>
                <w:rFonts w:cs="Times New Roman"/>
                <w:sz w:val="24"/>
                <w:szCs w:val="24"/>
              </w:rPr>
            </w:pPr>
            <w:r>
              <w:rPr>
                <w:rFonts w:cs="Times New Roman"/>
                <w:sz w:val="24"/>
                <w:szCs w:val="24"/>
              </w:rPr>
              <w:t>4</w:t>
            </w:r>
          </w:p>
        </w:tc>
        <w:tc>
          <w:tcPr>
            <w:tcW w:w="1842" w:type="dxa"/>
          </w:tcPr>
          <w:p w:rsidR="000A1905" w:rsidRPr="000A1905" w:rsidRDefault="000A1905" w:rsidP="00D57775">
            <w:pPr>
              <w:spacing w:line="240" w:lineRule="auto"/>
              <w:jc w:val="center"/>
              <w:cnfStyle w:val="000000000000"/>
              <w:rPr>
                <w:rFonts w:cs="Times New Roman"/>
                <w:sz w:val="24"/>
                <w:szCs w:val="24"/>
              </w:rPr>
            </w:pPr>
            <w:r>
              <w:rPr>
                <w:rFonts w:cs="Times New Roman"/>
                <w:sz w:val="24"/>
                <w:szCs w:val="24"/>
              </w:rPr>
              <w:t>80</w:t>
            </w:r>
          </w:p>
        </w:tc>
        <w:tc>
          <w:tcPr>
            <w:tcW w:w="1701" w:type="dxa"/>
          </w:tcPr>
          <w:p w:rsidR="000A1905" w:rsidRPr="000A1905" w:rsidRDefault="000A1905" w:rsidP="00D57775">
            <w:pPr>
              <w:spacing w:line="240" w:lineRule="auto"/>
              <w:jc w:val="center"/>
              <w:cnfStyle w:val="000000000000"/>
              <w:rPr>
                <w:rFonts w:cs="Times New Roman"/>
                <w:sz w:val="24"/>
                <w:szCs w:val="24"/>
              </w:rPr>
            </w:pPr>
            <w:r>
              <w:rPr>
                <w:rFonts w:cs="Times New Roman"/>
                <w:sz w:val="24"/>
                <w:szCs w:val="24"/>
              </w:rPr>
              <w:t>11</w:t>
            </w:r>
          </w:p>
        </w:tc>
        <w:tc>
          <w:tcPr>
            <w:tcW w:w="1860" w:type="dxa"/>
          </w:tcPr>
          <w:p w:rsidR="000A1905" w:rsidRPr="000A1905" w:rsidRDefault="000A1905" w:rsidP="00D57775">
            <w:pPr>
              <w:spacing w:line="240" w:lineRule="auto"/>
              <w:jc w:val="center"/>
              <w:cnfStyle w:val="000000000000"/>
              <w:rPr>
                <w:rFonts w:cs="Times New Roman"/>
                <w:sz w:val="24"/>
                <w:szCs w:val="24"/>
              </w:rPr>
            </w:pPr>
            <w:r>
              <w:rPr>
                <w:rFonts w:cs="Times New Roman"/>
                <w:sz w:val="24"/>
                <w:szCs w:val="24"/>
              </w:rPr>
              <w:t>5</w:t>
            </w:r>
          </w:p>
        </w:tc>
      </w:tr>
      <w:tr w:rsidR="000A1905" w:rsidRPr="000A1905" w:rsidTr="000A1905">
        <w:trPr>
          <w:cnfStyle w:val="000000100000"/>
        </w:trPr>
        <w:tc>
          <w:tcPr>
            <w:cnfStyle w:val="001000000000"/>
            <w:tcW w:w="1857" w:type="dxa"/>
          </w:tcPr>
          <w:p w:rsidR="000A1905" w:rsidRPr="000A1905" w:rsidRDefault="000A1905" w:rsidP="00D57775">
            <w:pPr>
              <w:spacing w:line="240" w:lineRule="auto"/>
              <w:rPr>
                <w:rFonts w:cs="Times New Roman"/>
                <w:sz w:val="20"/>
                <w:szCs w:val="20"/>
              </w:rPr>
            </w:pPr>
            <w:r w:rsidRPr="000A1905">
              <w:rPr>
                <w:rFonts w:cs="Times New Roman"/>
                <w:sz w:val="20"/>
                <w:szCs w:val="20"/>
              </w:rPr>
              <w:t>Sumporov dioksid</w:t>
            </w:r>
          </w:p>
        </w:tc>
        <w:tc>
          <w:tcPr>
            <w:tcW w:w="2079" w:type="dxa"/>
          </w:tcPr>
          <w:p w:rsidR="000A1905" w:rsidRPr="000A1905" w:rsidRDefault="000A1905" w:rsidP="00D57775">
            <w:pPr>
              <w:spacing w:line="240" w:lineRule="auto"/>
              <w:jc w:val="center"/>
              <w:cnfStyle w:val="000000100000"/>
              <w:rPr>
                <w:rFonts w:cs="Times New Roman"/>
                <w:sz w:val="24"/>
                <w:szCs w:val="24"/>
              </w:rPr>
            </w:pPr>
            <w:r>
              <w:rPr>
                <w:rFonts w:cs="Times New Roman"/>
                <w:sz w:val="24"/>
                <w:szCs w:val="24"/>
              </w:rPr>
              <w:t>10</w:t>
            </w:r>
          </w:p>
        </w:tc>
        <w:tc>
          <w:tcPr>
            <w:tcW w:w="1842" w:type="dxa"/>
          </w:tcPr>
          <w:p w:rsidR="000A1905" w:rsidRPr="000A1905" w:rsidRDefault="000A1905" w:rsidP="00D57775">
            <w:pPr>
              <w:spacing w:line="240" w:lineRule="auto"/>
              <w:jc w:val="center"/>
              <w:cnfStyle w:val="000000100000"/>
              <w:rPr>
                <w:rFonts w:cs="Times New Roman"/>
                <w:sz w:val="24"/>
                <w:szCs w:val="24"/>
              </w:rPr>
            </w:pPr>
            <w:r>
              <w:rPr>
                <w:rFonts w:cs="Times New Roman"/>
                <w:sz w:val="24"/>
                <w:szCs w:val="24"/>
              </w:rPr>
              <w:t>84</w:t>
            </w:r>
          </w:p>
        </w:tc>
        <w:tc>
          <w:tcPr>
            <w:tcW w:w="1701" w:type="dxa"/>
          </w:tcPr>
          <w:p w:rsidR="000A1905" w:rsidRPr="000A1905" w:rsidRDefault="000A1905" w:rsidP="00D57775">
            <w:pPr>
              <w:spacing w:line="240" w:lineRule="auto"/>
              <w:jc w:val="center"/>
              <w:cnfStyle w:val="000000100000"/>
              <w:rPr>
                <w:rFonts w:cs="Times New Roman"/>
                <w:sz w:val="24"/>
                <w:szCs w:val="24"/>
              </w:rPr>
            </w:pPr>
            <w:r>
              <w:rPr>
                <w:rFonts w:cs="Times New Roman"/>
                <w:sz w:val="24"/>
                <w:szCs w:val="24"/>
              </w:rPr>
              <w:t>2</w:t>
            </w:r>
          </w:p>
        </w:tc>
        <w:tc>
          <w:tcPr>
            <w:tcW w:w="1860" w:type="dxa"/>
          </w:tcPr>
          <w:p w:rsidR="000A1905" w:rsidRPr="000A1905" w:rsidRDefault="000A1905" w:rsidP="00D57775">
            <w:pPr>
              <w:spacing w:line="240" w:lineRule="auto"/>
              <w:jc w:val="center"/>
              <w:cnfStyle w:val="000000100000"/>
              <w:rPr>
                <w:rFonts w:cs="Times New Roman"/>
                <w:sz w:val="24"/>
                <w:szCs w:val="24"/>
              </w:rPr>
            </w:pPr>
            <w:r>
              <w:rPr>
                <w:rFonts w:cs="Times New Roman"/>
                <w:sz w:val="24"/>
                <w:szCs w:val="24"/>
              </w:rPr>
              <w:t>14</w:t>
            </w:r>
          </w:p>
        </w:tc>
      </w:tr>
      <w:tr w:rsidR="000A1905" w:rsidRPr="000A1905" w:rsidTr="000A1905">
        <w:tc>
          <w:tcPr>
            <w:cnfStyle w:val="001000000000"/>
            <w:tcW w:w="1857" w:type="dxa"/>
          </w:tcPr>
          <w:p w:rsidR="000A1905" w:rsidRPr="000A1905" w:rsidRDefault="000A1905" w:rsidP="00D57775">
            <w:pPr>
              <w:spacing w:line="240" w:lineRule="auto"/>
              <w:rPr>
                <w:rFonts w:cs="Times New Roman"/>
                <w:sz w:val="20"/>
                <w:szCs w:val="20"/>
              </w:rPr>
            </w:pPr>
            <w:r w:rsidRPr="000A1905">
              <w:rPr>
                <w:rFonts w:cs="Times New Roman"/>
                <w:sz w:val="20"/>
                <w:szCs w:val="20"/>
              </w:rPr>
              <w:t>Krute čestice</w:t>
            </w:r>
          </w:p>
        </w:tc>
        <w:tc>
          <w:tcPr>
            <w:tcW w:w="2079" w:type="dxa"/>
          </w:tcPr>
          <w:p w:rsidR="000A1905" w:rsidRPr="000A1905" w:rsidRDefault="000A1905" w:rsidP="00D57775">
            <w:pPr>
              <w:spacing w:line="240" w:lineRule="auto"/>
              <w:jc w:val="center"/>
              <w:cnfStyle w:val="000000000000"/>
              <w:rPr>
                <w:rFonts w:cs="Times New Roman"/>
                <w:sz w:val="24"/>
                <w:szCs w:val="24"/>
              </w:rPr>
            </w:pPr>
            <w:r>
              <w:rPr>
                <w:rFonts w:cs="Times New Roman"/>
                <w:sz w:val="24"/>
                <w:szCs w:val="24"/>
              </w:rPr>
              <w:t>5</w:t>
            </w:r>
          </w:p>
        </w:tc>
        <w:tc>
          <w:tcPr>
            <w:tcW w:w="1842" w:type="dxa"/>
          </w:tcPr>
          <w:p w:rsidR="000A1905" w:rsidRPr="000A1905" w:rsidRDefault="000A1905" w:rsidP="00D57775">
            <w:pPr>
              <w:spacing w:line="240" w:lineRule="auto"/>
              <w:jc w:val="center"/>
              <w:cnfStyle w:val="000000000000"/>
              <w:rPr>
                <w:rFonts w:cs="Times New Roman"/>
                <w:sz w:val="24"/>
                <w:szCs w:val="24"/>
              </w:rPr>
            </w:pPr>
            <w:r>
              <w:rPr>
                <w:rFonts w:cs="Times New Roman"/>
                <w:sz w:val="24"/>
                <w:szCs w:val="24"/>
              </w:rPr>
              <w:t>85</w:t>
            </w:r>
          </w:p>
        </w:tc>
        <w:tc>
          <w:tcPr>
            <w:tcW w:w="1701" w:type="dxa"/>
          </w:tcPr>
          <w:p w:rsidR="000A1905" w:rsidRPr="000A1905" w:rsidRDefault="000A1905" w:rsidP="00D57775">
            <w:pPr>
              <w:spacing w:line="240" w:lineRule="auto"/>
              <w:jc w:val="center"/>
              <w:cnfStyle w:val="000000000000"/>
              <w:rPr>
                <w:rFonts w:cs="Times New Roman"/>
                <w:sz w:val="24"/>
                <w:szCs w:val="24"/>
              </w:rPr>
            </w:pPr>
            <w:r>
              <w:rPr>
                <w:rFonts w:cs="Times New Roman"/>
                <w:sz w:val="24"/>
                <w:szCs w:val="24"/>
              </w:rPr>
              <w:t>3</w:t>
            </w:r>
          </w:p>
        </w:tc>
        <w:tc>
          <w:tcPr>
            <w:tcW w:w="1860" w:type="dxa"/>
          </w:tcPr>
          <w:p w:rsidR="000A1905" w:rsidRPr="000A1905" w:rsidRDefault="000A1905" w:rsidP="00D57775">
            <w:pPr>
              <w:spacing w:line="240" w:lineRule="auto"/>
              <w:jc w:val="center"/>
              <w:cnfStyle w:val="000000000000"/>
              <w:rPr>
                <w:rFonts w:cs="Times New Roman"/>
                <w:sz w:val="24"/>
                <w:szCs w:val="24"/>
              </w:rPr>
            </w:pPr>
            <w:r>
              <w:rPr>
                <w:rFonts w:cs="Times New Roman"/>
                <w:sz w:val="24"/>
                <w:szCs w:val="24"/>
              </w:rPr>
              <w:t>7</w:t>
            </w:r>
          </w:p>
        </w:tc>
      </w:tr>
    </w:tbl>
    <w:p w:rsidR="000A1905" w:rsidRDefault="000A1905" w:rsidP="00D57775">
      <w:pPr>
        <w:spacing w:line="240" w:lineRule="auto"/>
        <w:rPr>
          <w:rFonts w:cs="Times New Roman"/>
          <w:sz w:val="20"/>
          <w:szCs w:val="20"/>
        </w:rPr>
      </w:pPr>
      <w:r>
        <w:rPr>
          <w:rFonts w:cs="Times New Roman"/>
          <w:b/>
          <w:sz w:val="20"/>
          <w:szCs w:val="20"/>
        </w:rPr>
        <w:t xml:space="preserve">Izvor: </w:t>
      </w:r>
      <w:r w:rsidRPr="00B76507">
        <w:rPr>
          <w:rFonts w:cs="Times New Roman"/>
          <w:sz w:val="20"/>
          <w:szCs w:val="20"/>
        </w:rPr>
        <w:t xml:space="preserve">Mlinarić, I., </w:t>
      </w:r>
      <w:r w:rsidR="00B76507" w:rsidRPr="00B76507">
        <w:rPr>
          <w:rFonts w:cs="Times New Roman"/>
          <w:sz w:val="20"/>
          <w:szCs w:val="20"/>
        </w:rPr>
        <w:t xml:space="preserve">Missoni, E.: </w:t>
      </w:r>
      <w:r w:rsidR="00B76507" w:rsidRPr="00B76507">
        <w:rPr>
          <w:rFonts w:cs="Times New Roman"/>
          <w:i/>
          <w:sz w:val="20"/>
          <w:szCs w:val="20"/>
        </w:rPr>
        <w:t xml:space="preserve">„Prometna medicina“, </w:t>
      </w:r>
      <w:r w:rsidR="00B76507" w:rsidRPr="00B76507">
        <w:rPr>
          <w:rFonts w:cs="Times New Roman"/>
          <w:sz w:val="20"/>
          <w:szCs w:val="20"/>
        </w:rPr>
        <w:t>FPZ, Zagreb, 1994. i ECE 1/97</w:t>
      </w:r>
    </w:p>
    <w:p w:rsidR="00B76507" w:rsidRDefault="00B76507" w:rsidP="00D57775">
      <w:pPr>
        <w:spacing w:line="240" w:lineRule="auto"/>
        <w:rPr>
          <w:rFonts w:cs="Times New Roman"/>
          <w:sz w:val="20"/>
          <w:szCs w:val="20"/>
        </w:rPr>
      </w:pPr>
    </w:p>
    <w:p w:rsidR="00B773AB" w:rsidRPr="00B76507" w:rsidRDefault="00981BCB" w:rsidP="00D57775">
      <w:pPr>
        <w:spacing w:line="240" w:lineRule="auto"/>
      </w:pPr>
      <w:r>
        <w:tab/>
        <w:t>Na prethodnoj tablici 1, odnosno osnovi usporedbe emisija štetnih plinova iz cestovnog, zračnog i vodenog prometa moguće je primijetiti da su te količine bitno veće od količine tih plinova ispuštenih iz željezničkog prometa. To je jedan od glavnih argumenata koji ide u prilog čistoći željezničkog prometa.</w:t>
      </w:r>
      <w:r w:rsidR="00A538DF">
        <w:t xml:space="preserve"> </w:t>
      </w:r>
      <w:r w:rsidR="00B773AB">
        <w:t>Glavnina potrošnje energije u prometu ostvaruje se u cestovnom prometu. U 1998. godini iznosila je 85,9%, a u 2003. godini 89,5%, dakle povećala se za 3,6%. Udjeli svih ostalih vrsta prometnih grana su smanjeni.</w:t>
      </w:r>
      <w:r w:rsidR="00A538DF" w:rsidRPr="00A538DF">
        <w:rPr>
          <w:rStyle w:val="FootnoteReference"/>
        </w:rPr>
        <w:t xml:space="preserve"> </w:t>
      </w:r>
      <w:r w:rsidR="00A538DF">
        <w:rPr>
          <w:rStyle w:val="FootnoteReference"/>
        </w:rPr>
        <w:footnoteReference w:id="13"/>
      </w:r>
    </w:p>
    <w:p w:rsidR="006649F3" w:rsidRDefault="006649F3" w:rsidP="00D57775">
      <w:pPr>
        <w:spacing w:line="240" w:lineRule="auto"/>
        <w:rPr>
          <w:szCs w:val="24"/>
        </w:rPr>
      </w:pPr>
    </w:p>
    <w:p w:rsidR="00B92729" w:rsidRDefault="00B92729" w:rsidP="00D57775">
      <w:pPr>
        <w:spacing w:line="240" w:lineRule="auto"/>
        <w:rPr>
          <w:szCs w:val="24"/>
        </w:rPr>
      </w:pPr>
    </w:p>
    <w:p w:rsidR="00B92729" w:rsidRDefault="00B92729" w:rsidP="00D57775">
      <w:pPr>
        <w:spacing w:line="240" w:lineRule="auto"/>
        <w:rPr>
          <w:szCs w:val="24"/>
        </w:rPr>
      </w:pPr>
    </w:p>
    <w:p w:rsidR="00B92729" w:rsidRDefault="00B92729" w:rsidP="00D57775">
      <w:pPr>
        <w:spacing w:line="240" w:lineRule="auto"/>
        <w:rPr>
          <w:szCs w:val="24"/>
        </w:rPr>
      </w:pPr>
    </w:p>
    <w:p w:rsidR="00B92729" w:rsidRDefault="00B92729" w:rsidP="00D57775">
      <w:pPr>
        <w:spacing w:line="240" w:lineRule="auto"/>
        <w:rPr>
          <w:szCs w:val="24"/>
        </w:rPr>
      </w:pPr>
    </w:p>
    <w:p w:rsidR="00B92729" w:rsidRDefault="00B92729" w:rsidP="00D57775">
      <w:pPr>
        <w:spacing w:line="240" w:lineRule="auto"/>
        <w:rPr>
          <w:szCs w:val="24"/>
        </w:rPr>
      </w:pPr>
    </w:p>
    <w:p w:rsidR="00B92729" w:rsidRDefault="00B92729" w:rsidP="00D57775">
      <w:pPr>
        <w:spacing w:line="240" w:lineRule="auto"/>
        <w:rPr>
          <w:szCs w:val="24"/>
        </w:rPr>
      </w:pPr>
    </w:p>
    <w:p w:rsidR="00B92729" w:rsidRPr="00E638A5" w:rsidRDefault="00B92729" w:rsidP="00D57775">
      <w:pPr>
        <w:spacing w:line="240" w:lineRule="auto"/>
        <w:rPr>
          <w:szCs w:val="24"/>
        </w:rPr>
      </w:pPr>
    </w:p>
    <w:p w:rsidR="00C01FDF" w:rsidRDefault="00A538DF" w:rsidP="00D57775">
      <w:pPr>
        <w:spacing w:line="240" w:lineRule="auto"/>
      </w:pPr>
      <w:r>
        <w:lastRenderedPageBreak/>
        <w:t>Tablica 2: Potrošnja energije po prometnim granama</w:t>
      </w:r>
    </w:p>
    <w:tbl>
      <w:tblPr>
        <w:tblStyle w:val="ColorfulGrid-Accent1"/>
        <w:tblW w:w="0" w:type="auto"/>
        <w:tblLook w:val="04A0"/>
      </w:tblPr>
      <w:tblGrid>
        <w:gridCol w:w="3096"/>
        <w:gridCol w:w="3391"/>
        <w:gridCol w:w="567"/>
        <w:gridCol w:w="2234"/>
      </w:tblGrid>
      <w:tr w:rsidR="00A538DF" w:rsidRPr="00A538DF" w:rsidTr="00A538DF">
        <w:trPr>
          <w:cnfStyle w:val="100000000000"/>
        </w:trPr>
        <w:tc>
          <w:tcPr>
            <w:cnfStyle w:val="001000000000"/>
            <w:tcW w:w="3096" w:type="dxa"/>
          </w:tcPr>
          <w:p w:rsidR="00A538DF" w:rsidRPr="00A538DF" w:rsidRDefault="00A538DF" w:rsidP="00D57775">
            <w:pPr>
              <w:spacing w:line="240" w:lineRule="auto"/>
              <w:jc w:val="center"/>
              <w:rPr>
                <w:sz w:val="24"/>
                <w:szCs w:val="24"/>
              </w:rPr>
            </w:pPr>
            <w:r w:rsidRPr="00A538DF">
              <w:rPr>
                <w:sz w:val="24"/>
                <w:szCs w:val="24"/>
              </w:rPr>
              <w:t>Način prijevoza</w:t>
            </w:r>
          </w:p>
        </w:tc>
        <w:tc>
          <w:tcPr>
            <w:tcW w:w="3958" w:type="dxa"/>
            <w:gridSpan w:val="2"/>
          </w:tcPr>
          <w:p w:rsidR="00A538DF" w:rsidRPr="00A538DF" w:rsidRDefault="00A538DF" w:rsidP="00D57775">
            <w:pPr>
              <w:spacing w:line="240" w:lineRule="auto"/>
              <w:jc w:val="center"/>
              <w:cnfStyle w:val="100000000000"/>
              <w:rPr>
                <w:sz w:val="24"/>
                <w:szCs w:val="24"/>
              </w:rPr>
            </w:pPr>
            <w:r w:rsidRPr="00A538DF">
              <w:rPr>
                <w:sz w:val="24"/>
                <w:szCs w:val="24"/>
              </w:rPr>
              <w:t xml:space="preserve">Spec. Potrošnja </w:t>
            </w:r>
            <w:r>
              <w:rPr>
                <w:sz w:val="24"/>
                <w:szCs w:val="24"/>
              </w:rPr>
              <w:t xml:space="preserve">(kWh/000 </w:t>
            </w:r>
            <w:r w:rsidRPr="00A538DF">
              <w:rPr>
                <w:sz w:val="24"/>
                <w:szCs w:val="24"/>
              </w:rPr>
              <w:t>ntkm)</w:t>
            </w:r>
          </w:p>
        </w:tc>
        <w:tc>
          <w:tcPr>
            <w:tcW w:w="2234" w:type="dxa"/>
          </w:tcPr>
          <w:p w:rsidR="00A538DF" w:rsidRPr="00A538DF" w:rsidRDefault="00A538DF" w:rsidP="00D57775">
            <w:pPr>
              <w:spacing w:line="240" w:lineRule="auto"/>
              <w:jc w:val="center"/>
              <w:cnfStyle w:val="100000000000"/>
              <w:rPr>
                <w:sz w:val="24"/>
                <w:szCs w:val="24"/>
              </w:rPr>
            </w:pPr>
            <w:r w:rsidRPr="00A538DF">
              <w:rPr>
                <w:sz w:val="24"/>
                <w:szCs w:val="24"/>
              </w:rPr>
              <w:t>Odnos</w:t>
            </w:r>
          </w:p>
        </w:tc>
      </w:tr>
      <w:tr w:rsidR="00A538DF" w:rsidRPr="00A538DF" w:rsidTr="00A538DF">
        <w:trPr>
          <w:cnfStyle w:val="000000100000"/>
        </w:trPr>
        <w:tc>
          <w:tcPr>
            <w:cnfStyle w:val="001000000000"/>
            <w:tcW w:w="3096" w:type="dxa"/>
          </w:tcPr>
          <w:p w:rsidR="00A538DF" w:rsidRPr="00A538DF" w:rsidRDefault="00A538DF" w:rsidP="00D57775">
            <w:pPr>
              <w:spacing w:line="240" w:lineRule="auto"/>
              <w:rPr>
                <w:sz w:val="24"/>
                <w:szCs w:val="24"/>
              </w:rPr>
            </w:pPr>
            <w:r w:rsidRPr="00A538DF">
              <w:rPr>
                <w:sz w:val="24"/>
                <w:szCs w:val="24"/>
              </w:rPr>
              <w:t>Željeznica (brz. 100km/h)</w:t>
            </w:r>
          </w:p>
        </w:tc>
        <w:tc>
          <w:tcPr>
            <w:tcW w:w="3391" w:type="dxa"/>
          </w:tcPr>
          <w:p w:rsidR="00A538DF" w:rsidRPr="00A538DF" w:rsidRDefault="00A538DF" w:rsidP="00D57775">
            <w:pPr>
              <w:spacing w:line="240" w:lineRule="auto"/>
              <w:jc w:val="center"/>
              <w:cnfStyle w:val="000000100000"/>
              <w:rPr>
                <w:sz w:val="24"/>
                <w:szCs w:val="24"/>
              </w:rPr>
            </w:pPr>
            <w:r w:rsidRPr="00A538DF">
              <w:rPr>
                <w:sz w:val="24"/>
                <w:szCs w:val="24"/>
              </w:rPr>
              <w:t>120</w:t>
            </w:r>
          </w:p>
        </w:tc>
        <w:tc>
          <w:tcPr>
            <w:tcW w:w="2801" w:type="dxa"/>
            <w:gridSpan w:val="2"/>
          </w:tcPr>
          <w:p w:rsidR="00A538DF" w:rsidRPr="00A538DF" w:rsidRDefault="00A538DF" w:rsidP="00D57775">
            <w:pPr>
              <w:spacing w:line="240" w:lineRule="auto"/>
              <w:jc w:val="center"/>
              <w:cnfStyle w:val="000000100000"/>
              <w:rPr>
                <w:sz w:val="24"/>
                <w:szCs w:val="24"/>
              </w:rPr>
            </w:pPr>
            <w:r w:rsidRPr="00A538DF">
              <w:rPr>
                <w:sz w:val="24"/>
                <w:szCs w:val="24"/>
              </w:rPr>
              <w:t>1</w:t>
            </w:r>
          </w:p>
        </w:tc>
      </w:tr>
      <w:tr w:rsidR="00A538DF" w:rsidRPr="00A538DF" w:rsidTr="00A538DF">
        <w:tc>
          <w:tcPr>
            <w:cnfStyle w:val="001000000000"/>
            <w:tcW w:w="3096" w:type="dxa"/>
          </w:tcPr>
          <w:p w:rsidR="00A538DF" w:rsidRPr="00A538DF" w:rsidRDefault="00A538DF" w:rsidP="00D57775">
            <w:pPr>
              <w:spacing w:line="240" w:lineRule="auto"/>
              <w:rPr>
                <w:sz w:val="24"/>
                <w:szCs w:val="24"/>
              </w:rPr>
            </w:pPr>
            <w:r w:rsidRPr="00A538DF">
              <w:rPr>
                <w:sz w:val="24"/>
                <w:szCs w:val="24"/>
              </w:rPr>
              <w:t>Kamion (brz. 100km/h)</w:t>
            </w:r>
          </w:p>
        </w:tc>
        <w:tc>
          <w:tcPr>
            <w:tcW w:w="3391" w:type="dxa"/>
          </w:tcPr>
          <w:p w:rsidR="00A538DF" w:rsidRPr="00A538DF" w:rsidRDefault="00A538DF" w:rsidP="00D57775">
            <w:pPr>
              <w:spacing w:line="240" w:lineRule="auto"/>
              <w:jc w:val="center"/>
              <w:cnfStyle w:val="000000000000"/>
              <w:rPr>
                <w:sz w:val="24"/>
                <w:szCs w:val="24"/>
              </w:rPr>
            </w:pPr>
            <w:r w:rsidRPr="00A538DF">
              <w:rPr>
                <w:sz w:val="24"/>
                <w:szCs w:val="24"/>
              </w:rPr>
              <w:t>520</w:t>
            </w:r>
          </w:p>
        </w:tc>
        <w:tc>
          <w:tcPr>
            <w:tcW w:w="2801" w:type="dxa"/>
            <w:gridSpan w:val="2"/>
          </w:tcPr>
          <w:p w:rsidR="00A538DF" w:rsidRPr="00A538DF" w:rsidRDefault="00A538DF" w:rsidP="00D57775">
            <w:pPr>
              <w:spacing w:line="240" w:lineRule="auto"/>
              <w:jc w:val="center"/>
              <w:cnfStyle w:val="000000000000"/>
              <w:rPr>
                <w:sz w:val="24"/>
                <w:szCs w:val="24"/>
              </w:rPr>
            </w:pPr>
            <w:r w:rsidRPr="00A538DF">
              <w:rPr>
                <w:sz w:val="24"/>
                <w:szCs w:val="24"/>
              </w:rPr>
              <w:t>4,33</w:t>
            </w:r>
          </w:p>
        </w:tc>
      </w:tr>
      <w:tr w:rsidR="00A538DF" w:rsidRPr="00A538DF" w:rsidTr="00A538DF">
        <w:trPr>
          <w:cnfStyle w:val="000000100000"/>
        </w:trPr>
        <w:tc>
          <w:tcPr>
            <w:cnfStyle w:val="001000000000"/>
            <w:tcW w:w="3096" w:type="dxa"/>
          </w:tcPr>
          <w:p w:rsidR="00A538DF" w:rsidRPr="00A538DF" w:rsidRDefault="00A538DF" w:rsidP="00D57775">
            <w:pPr>
              <w:spacing w:line="240" w:lineRule="auto"/>
              <w:rPr>
                <w:sz w:val="24"/>
                <w:szCs w:val="24"/>
              </w:rPr>
            </w:pPr>
            <w:r w:rsidRPr="00A538DF">
              <w:rPr>
                <w:sz w:val="24"/>
                <w:szCs w:val="24"/>
              </w:rPr>
              <w:t xml:space="preserve">Brod </w:t>
            </w:r>
          </w:p>
        </w:tc>
        <w:tc>
          <w:tcPr>
            <w:tcW w:w="3391" w:type="dxa"/>
          </w:tcPr>
          <w:p w:rsidR="00A538DF" w:rsidRPr="00A538DF" w:rsidRDefault="00A538DF" w:rsidP="00D57775">
            <w:pPr>
              <w:spacing w:line="240" w:lineRule="auto"/>
              <w:jc w:val="center"/>
              <w:cnfStyle w:val="000000100000"/>
              <w:rPr>
                <w:sz w:val="24"/>
                <w:szCs w:val="24"/>
              </w:rPr>
            </w:pPr>
            <w:r w:rsidRPr="00A538DF">
              <w:rPr>
                <w:sz w:val="24"/>
                <w:szCs w:val="24"/>
              </w:rPr>
              <w:t>120</w:t>
            </w:r>
          </w:p>
        </w:tc>
        <w:tc>
          <w:tcPr>
            <w:tcW w:w="2801" w:type="dxa"/>
            <w:gridSpan w:val="2"/>
          </w:tcPr>
          <w:p w:rsidR="00A538DF" w:rsidRPr="00A538DF" w:rsidRDefault="00A538DF" w:rsidP="00D57775">
            <w:pPr>
              <w:spacing w:line="240" w:lineRule="auto"/>
              <w:jc w:val="center"/>
              <w:cnfStyle w:val="000000100000"/>
              <w:rPr>
                <w:sz w:val="24"/>
                <w:szCs w:val="24"/>
              </w:rPr>
            </w:pPr>
            <w:r w:rsidRPr="00A538DF">
              <w:rPr>
                <w:sz w:val="24"/>
                <w:szCs w:val="24"/>
              </w:rPr>
              <w:t>1</w:t>
            </w:r>
          </w:p>
        </w:tc>
      </w:tr>
      <w:tr w:rsidR="00A538DF" w:rsidRPr="00A538DF" w:rsidTr="00A538DF">
        <w:tc>
          <w:tcPr>
            <w:cnfStyle w:val="001000000000"/>
            <w:tcW w:w="3096" w:type="dxa"/>
          </w:tcPr>
          <w:p w:rsidR="00A538DF" w:rsidRPr="00A538DF" w:rsidRDefault="00A538DF" w:rsidP="00D57775">
            <w:pPr>
              <w:spacing w:line="240" w:lineRule="auto"/>
              <w:rPr>
                <w:sz w:val="24"/>
                <w:szCs w:val="24"/>
              </w:rPr>
            </w:pPr>
            <w:r w:rsidRPr="00A538DF">
              <w:rPr>
                <w:sz w:val="24"/>
                <w:szCs w:val="24"/>
              </w:rPr>
              <w:t>Zrakoplov (brz. 100 km/h)</w:t>
            </w:r>
          </w:p>
        </w:tc>
        <w:tc>
          <w:tcPr>
            <w:tcW w:w="3391" w:type="dxa"/>
          </w:tcPr>
          <w:p w:rsidR="00A538DF" w:rsidRPr="00A538DF" w:rsidRDefault="00A538DF" w:rsidP="00D57775">
            <w:pPr>
              <w:spacing w:line="240" w:lineRule="auto"/>
              <w:jc w:val="center"/>
              <w:cnfStyle w:val="000000000000"/>
              <w:rPr>
                <w:sz w:val="24"/>
                <w:szCs w:val="24"/>
              </w:rPr>
            </w:pPr>
            <w:r w:rsidRPr="00A538DF">
              <w:rPr>
                <w:sz w:val="24"/>
                <w:szCs w:val="24"/>
              </w:rPr>
              <w:t>7570</w:t>
            </w:r>
          </w:p>
        </w:tc>
        <w:tc>
          <w:tcPr>
            <w:tcW w:w="2801" w:type="dxa"/>
            <w:gridSpan w:val="2"/>
          </w:tcPr>
          <w:p w:rsidR="00A538DF" w:rsidRPr="00A538DF" w:rsidRDefault="00A538DF" w:rsidP="00D57775">
            <w:pPr>
              <w:spacing w:line="240" w:lineRule="auto"/>
              <w:jc w:val="center"/>
              <w:cnfStyle w:val="000000000000"/>
              <w:rPr>
                <w:sz w:val="24"/>
                <w:szCs w:val="24"/>
              </w:rPr>
            </w:pPr>
            <w:r w:rsidRPr="00A538DF">
              <w:rPr>
                <w:sz w:val="24"/>
                <w:szCs w:val="24"/>
              </w:rPr>
              <w:t>63,08</w:t>
            </w:r>
          </w:p>
        </w:tc>
      </w:tr>
    </w:tbl>
    <w:p w:rsidR="00A538DF" w:rsidRDefault="00A538DF" w:rsidP="00D57775">
      <w:pPr>
        <w:spacing w:line="240" w:lineRule="auto"/>
        <w:rPr>
          <w:b/>
          <w:sz w:val="20"/>
          <w:szCs w:val="20"/>
        </w:rPr>
      </w:pPr>
      <w:r>
        <w:rPr>
          <w:b/>
          <w:sz w:val="20"/>
          <w:szCs w:val="20"/>
        </w:rPr>
        <w:t>kWh – kilovat sat</w:t>
      </w:r>
      <w:r>
        <w:rPr>
          <w:b/>
          <w:sz w:val="20"/>
          <w:szCs w:val="20"/>
        </w:rPr>
        <w:tab/>
      </w:r>
      <w:r>
        <w:rPr>
          <w:b/>
          <w:sz w:val="20"/>
          <w:szCs w:val="20"/>
        </w:rPr>
        <w:tab/>
        <w:t xml:space="preserve">       ntkm – netotonski kilometar</w:t>
      </w:r>
    </w:p>
    <w:p w:rsidR="00A538DF" w:rsidRDefault="00A538DF" w:rsidP="00D57775">
      <w:pPr>
        <w:spacing w:line="240" w:lineRule="auto"/>
        <w:rPr>
          <w:sz w:val="20"/>
          <w:szCs w:val="20"/>
        </w:rPr>
      </w:pPr>
      <w:r>
        <w:rPr>
          <w:b/>
          <w:sz w:val="20"/>
          <w:szCs w:val="20"/>
        </w:rPr>
        <w:t xml:space="preserve">Izvor: </w:t>
      </w:r>
      <w:r>
        <w:rPr>
          <w:sz w:val="20"/>
          <w:szCs w:val="20"/>
        </w:rPr>
        <w:t xml:space="preserve">Matić, M.: </w:t>
      </w:r>
      <w:r>
        <w:rPr>
          <w:i/>
          <w:sz w:val="20"/>
          <w:szCs w:val="20"/>
        </w:rPr>
        <w:t xml:space="preserve">„Gospodarenje energijom“, </w:t>
      </w:r>
      <w:r>
        <w:rPr>
          <w:sz w:val="20"/>
          <w:szCs w:val="20"/>
        </w:rPr>
        <w:t>Školska knjiga, Zagreb, 1995.</w:t>
      </w:r>
    </w:p>
    <w:p w:rsidR="00A538DF" w:rsidRDefault="00A538DF" w:rsidP="00D57775">
      <w:pPr>
        <w:spacing w:line="240" w:lineRule="auto"/>
        <w:rPr>
          <w:sz w:val="20"/>
          <w:szCs w:val="20"/>
        </w:rPr>
      </w:pPr>
    </w:p>
    <w:p w:rsidR="00E9669E" w:rsidRDefault="00A538DF" w:rsidP="00D57775">
      <w:pPr>
        <w:spacing w:line="240" w:lineRule="auto"/>
      </w:pPr>
      <w:r>
        <w:tab/>
      </w:r>
      <w:r w:rsidR="009117D2">
        <w:t>U tablici 2. vidimo da je pri prijevozu tereta kamionom potrošnja pogonske energije više od 4 puta veća nego pri prijevozu tereta željeznicom, a pri prijevozu tereta zrakoplovom veća je više od 60 puta. Željeznica štedi energiju na temelju velike mase vlakova te zbog toga što se rjeđe zaustavlja i rjeđe mijenja voznu brzinu. Najveću prednost željeznice u zaštiti okoliša predstavlja štednja energije.</w:t>
      </w:r>
      <w:r w:rsidR="00E9669E">
        <w:t xml:space="preserve"> Još jedna od bitnih karakteristika (prednosti) željeznice od ostalih grana prometa je to što zauzima malo prostora, odnosno pri izgradnji željezničkih pruga potrebno je mnogo manje zemljišta nego za izgradnju ceste ili zračne luke.</w:t>
      </w:r>
      <w:r w:rsidR="00E9669E">
        <w:rPr>
          <w:rStyle w:val="FootnoteReference"/>
        </w:rPr>
        <w:footnoteReference w:id="14"/>
      </w:r>
      <w:r w:rsidR="00E9669E">
        <w:t xml:space="preserve"> Značajan podatak je da je potreba za prostorom dvokolosiječne pruge je 3,2 Ha/km, a autoceste s četiri prometna traka 9,1 Ha/km – ovdje je najvažnije da je kapacitet željezničke pruge za polovicu veći.</w:t>
      </w:r>
      <w:r w:rsidR="00E9669E">
        <w:rPr>
          <w:rStyle w:val="FootnoteReference"/>
        </w:rPr>
        <w:footnoteReference w:id="15"/>
      </w:r>
      <w:r w:rsidR="00E9669E">
        <w:t xml:space="preserve"> </w:t>
      </w:r>
    </w:p>
    <w:p w:rsidR="006B228E" w:rsidRDefault="006B228E" w:rsidP="00D57775">
      <w:pPr>
        <w:spacing w:line="240" w:lineRule="auto"/>
      </w:pPr>
      <w:r>
        <w:tab/>
        <w:t>Buka na čovjeka djeluje izravno i neizravno oštećujući njegovo zdravlje, njene posljedice mogu biti nagluhost, umor te se upravo iz tih razloga pridaje velika važnost zaštiti od buke. Za razliku od buke u cestovnom prometu koja se pojavljuje bez ikakvih pravila, buka u željezničkom prometu uvijek je otprilike iste glasnoće i istog karaktera. Raznim zahvatima uz prugu (bukobranima) utjecaj buke na okoliš može se znatno smanjiti.</w:t>
      </w:r>
      <w:r>
        <w:rPr>
          <w:rStyle w:val="FootnoteReference"/>
        </w:rPr>
        <w:footnoteReference w:id="16"/>
      </w:r>
      <w:r>
        <w:t xml:space="preserve"> </w:t>
      </w:r>
    </w:p>
    <w:p w:rsidR="00B92729" w:rsidRPr="00A538DF" w:rsidRDefault="00B92729" w:rsidP="00D57775">
      <w:pPr>
        <w:spacing w:line="240" w:lineRule="auto"/>
      </w:pPr>
    </w:p>
    <w:p w:rsidR="00AB5A5D" w:rsidRDefault="006B228E" w:rsidP="00D57775">
      <w:pPr>
        <w:spacing w:line="240" w:lineRule="auto"/>
      </w:pPr>
      <w:r>
        <w:t>Tablica 3: Prosječna jakost buke koju stvaraju prometna sredstva.</w:t>
      </w:r>
    </w:p>
    <w:tbl>
      <w:tblPr>
        <w:tblStyle w:val="ColorfulGrid-Accent1"/>
        <w:tblW w:w="0" w:type="auto"/>
        <w:tblLook w:val="04A0"/>
      </w:tblPr>
      <w:tblGrid>
        <w:gridCol w:w="4644"/>
        <w:gridCol w:w="4644"/>
      </w:tblGrid>
      <w:tr w:rsidR="006B228E" w:rsidRPr="006B228E" w:rsidTr="006B228E">
        <w:trPr>
          <w:cnfStyle w:val="100000000000"/>
        </w:trPr>
        <w:tc>
          <w:tcPr>
            <w:cnfStyle w:val="001000000000"/>
            <w:tcW w:w="4644" w:type="dxa"/>
          </w:tcPr>
          <w:p w:rsidR="006B228E" w:rsidRPr="006B228E" w:rsidRDefault="006B228E" w:rsidP="00D57775">
            <w:pPr>
              <w:spacing w:line="240" w:lineRule="auto"/>
              <w:jc w:val="center"/>
              <w:rPr>
                <w:sz w:val="24"/>
                <w:szCs w:val="24"/>
              </w:rPr>
            </w:pPr>
            <w:r w:rsidRPr="006B228E">
              <w:rPr>
                <w:sz w:val="24"/>
                <w:szCs w:val="24"/>
              </w:rPr>
              <w:t>Izvor buke</w:t>
            </w:r>
          </w:p>
        </w:tc>
        <w:tc>
          <w:tcPr>
            <w:tcW w:w="4644" w:type="dxa"/>
          </w:tcPr>
          <w:p w:rsidR="006B228E" w:rsidRPr="006B228E" w:rsidRDefault="006B228E" w:rsidP="00D57775">
            <w:pPr>
              <w:spacing w:line="240" w:lineRule="auto"/>
              <w:jc w:val="center"/>
              <w:cnfStyle w:val="100000000000"/>
              <w:rPr>
                <w:sz w:val="24"/>
                <w:szCs w:val="24"/>
              </w:rPr>
            </w:pPr>
            <w:r w:rsidRPr="006B228E">
              <w:rPr>
                <w:sz w:val="24"/>
                <w:szCs w:val="24"/>
              </w:rPr>
              <w:t>Razina buke u dB</w:t>
            </w:r>
          </w:p>
        </w:tc>
      </w:tr>
      <w:tr w:rsidR="006B228E" w:rsidRPr="006B228E" w:rsidTr="006B228E">
        <w:trPr>
          <w:cnfStyle w:val="000000100000"/>
        </w:trPr>
        <w:tc>
          <w:tcPr>
            <w:cnfStyle w:val="001000000000"/>
            <w:tcW w:w="4644" w:type="dxa"/>
          </w:tcPr>
          <w:p w:rsidR="006B228E" w:rsidRPr="006B228E" w:rsidRDefault="006B228E" w:rsidP="00D57775">
            <w:pPr>
              <w:spacing w:line="240" w:lineRule="auto"/>
              <w:rPr>
                <w:sz w:val="24"/>
                <w:szCs w:val="24"/>
              </w:rPr>
            </w:pPr>
            <w:r w:rsidRPr="006B228E">
              <w:rPr>
                <w:sz w:val="24"/>
                <w:szCs w:val="24"/>
              </w:rPr>
              <w:t>Osobni automobil (700 – 1200 cm</w:t>
            </w:r>
            <w:r w:rsidRPr="006B228E">
              <w:rPr>
                <w:sz w:val="24"/>
                <w:szCs w:val="24"/>
                <w:vertAlign w:val="superscript"/>
              </w:rPr>
              <w:t>3</w:t>
            </w:r>
            <w:r w:rsidRPr="006B228E">
              <w:rPr>
                <w:sz w:val="24"/>
                <w:szCs w:val="24"/>
              </w:rPr>
              <w:t>)</w:t>
            </w:r>
          </w:p>
        </w:tc>
        <w:tc>
          <w:tcPr>
            <w:tcW w:w="4644" w:type="dxa"/>
          </w:tcPr>
          <w:p w:rsidR="006B228E" w:rsidRPr="006B228E" w:rsidRDefault="006B228E" w:rsidP="00D57775">
            <w:pPr>
              <w:spacing w:line="240" w:lineRule="auto"/>
              <w:jc w:val="center"/>
              <w:cnfStyle w:val="000000100000"/>
              <w:rPr>
                <w:sz w:val="24"/>
                <w:szCs w:val="24"/>
              </w:rPr>
            </w:pPr>
            <w:r w:rsidRPr="006B228E">
              <w:rPr>
                <w:sz w:val="24"/>
                <w:szCs w:val="24"/>
              </w:rPr>
              <w:t>82</w:t>
            </w:r>
          </w:p>
        </w:tc>
      </w:tr>
      <w:tr w:rsidR="006B228E" w:rsidRPr="006B228E" w:rsidTr="006B228E">
        <w:tc>
          <w:tcPr>
            <w:cnfStyle w:val="001000000000"/>
            <w:tcW w:w="4644" w:type="dxa"/>
          </w:tcPr>
          <w:p w:rsidR="006B228E" w:rsidRPr="006B228E" w:rsidRDefault="006B228E" w:rsidP="00D57775">
            <w:pPr>
              <w:spacing w:line="240" w:lineRule="auto"/>
              <w:rPr>
                <w:sz w:val="24"/>
                <w:szCs w:val="24"/>
              </w:rPr>
            </w:pPr>
            <w:r w:rsidRPr="006B228E">
              <w:rPr>
                <w:sz w:val="24"/>
                <w:szCs w:val="24"/>
              </w:rPr>
              <w:t>Motocikl</w:t>
            </w:r>
          </w:p>
        </w:tc>
        <w:tc>
          <w:tcPr>
            <w:tcW w:w="4644" w:type="dxa"/>
          </w:tcPr>
          <w:p w:rsidR="006B228E" w:rsidRPr="006B228E" w:rsidRDefault="006B228E" w:rsidP="00D57775">
            <w:pPr>
              <w:spacing w:line="240" w:lineRule="auto"/>
              <w:jc w:val="center"/>
              <w:cnfStyle w:val="000000000000"/>
              <w:rPr>
                <w:sz w:val="24"/>
                <w:szCs w:val="24"/>
              </w:rPr>
            </w:pPr>
            <w:r w:rsidRPr="006B228E">
              <w:rPr>
                <w:sz w:val="24"/>
                <w:szCs w:val="24"/>
              </w:rPr>
              <w:t>90</w:t>
            </w:r>
          </w:p>
        </w:tc>
      </w:tr>
      <w:tr w:rsidR="006B228E" w:rsidRPr="006B228E" w:rsidTr="006B228E">
        <w:trPr>
          <w:cnfStyle w:val="000000100000"/>
        </w:trPr>
        <w:tc>
          <w:tcPr>
            <w:cnfStyle w:val="001000000000"/>
            <w:tcW w:w="4644" w:type="dxa"/>
          </w:tcPr>
          <w:p w:rsidR="006B228E" w:rsidRPr="006B228E" w:rsidRDefault="006B228E" w:rsidP="00D57775">
            <w:pPr>
              <w:spacing w:line="240" w:lineRule="auto"/>
              <w:rPr>
                <w:sz w:val="24"/>
                <w:szCs w:val="24"/>
              </w:rPr>
            </w:pPr>
            <w:r w:rsidRPr="006B228E">
              <w:rPr>
                <w:sz w:val="24"/>
                <w:szCs w:val="24"/>
              </w:rPr>
              <w:t>Teški teretni kamion</w:t>
            </w:r>
          </w:p>
        </w:tc>
        <w:tc>
          <w:tcPr>
            <w:tcW w:w="4644" w:type="dxa"/>
          </w:tcPr>
          <w:p w:rsidR="006B228E" w:rsidRPr="006B228E" w:rsidRDefault="006B228E" w:rsidP="00D57775">
            <w:pPr>
              <w:spacing w:line="240" w:lineRule="auto"/>
              <w:jc w:val="center"/>
              <w:cnfStyle w:val="000000100000"/>
              <w:rPr>
                <w:sz w:val="24"/>
                <w:szCs w:val="24"/>
              </w:rPr>
            </w:pPr>
            <w:r w:rsidRPr="006B228E">
              <w:rPr>
                <w:sz w:val="24"/>
                <w:szCs w:val="24"/>
              </w:rPr>
              <w:t>103</w:t>
            </w:r>
          </w:p>
        </w:tc>
      </w:tr>
      <w:tr w:rsidR="006B228E" w:rsidRPr="006B228E" w:rsidTr="006B228E">
        <w:tc>
          <w:tcPr>
            <w:cnfStyle w:val="001000000000"/>
            <w:tcW w:w="4644" w:type="dxa"/>
          </w:tcPr>
          <w:p w:rsidR="006B228E" w:rsidRPr="006B228E" w:rsidRDefault="006B228E" w:rsidP="00D57775">
            <w:pPr>
              <w:spacing w:line="240" w:lineRule="auto"/>
              <w:rPr>
                <w:sz w:val="24"/>
                <w:szCs w:val="24"/>
              </w:rPr>
            </w:pPr>
            <w:r w:rsidRPr="006B228E">
              <w:rPr>
                <w:sz w:val="24"/>
                <w:szCs w:val="24"/>
              </w:rPr>
              <w:t>Zrakoplov na mlazni pogon</w:t>
            </w:r>
          </w:p>
        </w:tc>
        <w:tc>
          <w:tcPr>
            <w:tcW w:w="4644" w:type="dxa"/>
          </w:tcPr>
          <w:p w:rsidR="006B228E" w:rsidRPr="006B228E" w:rsidRDefault="006B228E" w:rsidP="00D57775">
            <w:pPr>
              <w:spacing w:line="240" w:lineRule="auto"/>
              <w:jc w:val="center"/>
              <w:cnfStyle w:val="000000000000"/>
              <w:rPr>
                <w:sz w:val="24"/>
                <w:szCs w:val="24"/>
              </w:rPr>
            </w:pPr>
            <w:r w:rsidRPr="006B228E">
              <w:rPr>
                <w:sz w:val="24"/>
                <w:szCs w:val="24"/>
              </w:rPr>
              <w:t>150</w:t>
            </w:r>
          </w:p>
        </w:tc>
      </w:tr>
      <w:tr w:rsidR="006B228E" w:rsidRPr="006B228E" w:rsidTr="006B228E">
        <w:trPr>
          <w:cnfStyle w:val="000000100000"/>
        </w:trPr>
        <w:tc>
          <w:tcPr>
            <w:cnfStyle w:val="001000000000"/>
            <w:tcW w:w="4644" w:type="dxa"/>
          </w:tcPr>
          <w:p w:rsidR="006B228E" w:rsidRPr="006B228E" w:rsidRDefault="006B228E" w:rsidP="00D57775">
            <w:pPr>
              <w:spacing w:line="240" w:lineRule="auto"/>
              <w:rPr>
                <w:sz w:val="24"/>
                <w:szCs w:val="24"/>
              </w:rPr>
            </w:pPr>
            <w:r w:rsidRPr="006B228E">
              <w:rPr>
                <w:sz w:val="24"/>
                <w:szCs w:val="24"/>
              </w:rPr>
              <w:t>Brzi vlak za prijevoz putnika</w:t>
            </w:r>
          </w:p>
        </w:tc>
        <w:tc>
          <w:tcPr>
            <w:tcW w:w="4644" w:type="dxa"/>
          </w:tcPr>
          <w:p w:rsidR="006B228E" w:rsidRPr="006B228E" w:rsidRDefault="006B228E" w:rsidP="00D57775">
            <w:pPr>
              <w:spacing w:line="240" w:lineRule="auto"/>
              <w:jc w:val="center"/>
              <w:cnfStyle w:val="000000100000"/>
              <w:rPr>
                <w:sz w:val="24"/>
                <w:szCs w:val="24"/>
              </w:rPr>
            </w:pPr>
            <w:r w:rsidRPr="006B228E">
              <w:rPr>
                <w:sz w:val="24"/>
                <w:szCs w:val="24"/>
              </w:rPr>
              <w:t>65</w:t>
            </w:r>
          </w:p>
        </w:tc>
      </w:tr>
      <w:tr w:rsidR="006B228E" w:rsidRPr="006B228E" w:rsidTr="006B228E">
        <w:tc>
          <w:tcPr>
            <w:cnfStyle w:val="001000000000"/>
            <w:tcW w:w="4644" w:type="dxa"/>
          </w:tcPr>
          <w:p w:rsidR="006B228E" w:rsidRPr="006B228E" w:rsidRDefault="006B228E" w:rsidP="00D57775">
            <w:pPr>
              <w:spacing w:line="240" w:lineRule="auto"/>
              <w:rPr>
                <w:sz w:val="24"/>
                <w:szCs w:val="24"/>
              </w:rPr>
            </w:pPr>
            <w:r w:rsidRPr="006B228E">
              <w:rPr>
                <w:sz w:val="24"/>
                <w:szCs w:val="24"/>
              </w:rPr>
              <w:t>Teretni vlak brzine 120 km/h</w:t>
            </w:r>
          </w:p>
        </w:tc>
        <w:tc>
          <w:tcPr>
            <w:tcW w:w="4644" w:type="dxa"/>
          </w:tcPr>
          <w:p w:rsidR="006B228E" w:rsidRPr="006B228E" w:rsidRDefault="006B228E" w:rsidP="00D57775">
            <w:pPr>
              <w:spacing w:line="240" w:lineRule="auto"/>
              <w:jc w:val="center"/>
              <w:cnfStyle w:val="000000000000"/>
              <w:rPr>
                <w:sz w:val="24"/>
                <w:szCs w:val="24"/>
              </w:rPr>
            </w:pPr>
            <w:r w:rsidRPr="006B228E">
              <w:rPr>
                <w:sz w:val="24"/>
                <w:szCs w:val="24"/>
              </w:rPr>
              <w:t>60</w:t>
            </w:r>
          </w:p>
        </w:tc>
      </w:tr>
      <w:tr w:rsidR="006B228E" w:rsidRPr="006B228E" w:rsidTr="006B228E">
        <w:trPr>
          <w:cnfStyle w:val="000000100000"/>
        </w:trPr>
        <w:tc>
          <w:tcPr>
            <w:cnfStyle w:val="001000000000"/>
            <w:tcW w:w="4644" w:type="dxa"/>
          </w:tcPr>
          <w:p w:rsidR="006B228E" w:rsidRPr="006B228E" w:rsidRDefault="006B228E" w:rsidP="00D57775">
            <w:pPr>
              <w:spacing w:line="240" w:lineRule="auto"/>
              <w:rPr>
                <w:sz w:val="24"/>
                <w:szCs w:val="24"/>
              </w:rPr>
            </w:pPr>
            <w:r w:rsidRPr="006B228E">
              <w:rPr>
                <w:sz w:val="24"/>
                <w:szCs w:val="24"/>
              </w:rPr>
              <w:t>Vlak u prigradskom prijevozu</w:t>
            </w:r>
          </w:p>
        </w:tc>
        <w:tc>
          <w:tcPr>
            <w:tcW w:w="4644" w:type="dxa"/>
          </w:tcPr>
          <w:p w:rsidR="006B228E" w:rsidRPr="006B228E" w:rsidRDefault="006B228E" w:rsidP="00D57775">
            <w:pPr>
              <w:spacing w:line="240" w:lineRule="auto"/>
              <w:jc w:val="center"/>
              <w:cnfStyle w:val="000000100000"/>
              <w:rPr>
                <w:sz w:val="24"/>
                <w:szCs w:val="24"/>
              </w:rPr>
            </w:pPr>
            <w:r w:rsidRPr="006B228E">
              <w:rPr>
                <w:sz w:val="24"/>
                <w:szCs w:val="24"/>
              </w:rPr>
              <w:t>70</w:t>
            </w:r>
          </w:p>
        </w:tc>
      </w:tr>
    </w:tbl>
    <w:p w:rsidR="007179E1" w:rsidRDefault="006B228E" w:rsidP="00D57775">
      <w:pPr>
        <w:spacing w:line="240" w:lineRule="auto"/>
        <w:rPr>
          <w:sz w:val="20"/>
          <w:szCs w:val="20"/>
        </w:rPr>
      </w:pPr>
      <w:r>
        <w:rPr>
          <w:b/>
          <w:sz w:val="20"/>
          <w:szCs w:val="20"/>
        </w:rPr>
        <w:t xml:space="preserve">Izvor: </w:t>
      </w:r>
      <w:r>
        <w:rPr>
          <w:sz w:val="20"/>
          <w:szCs w:val="20"/>
        </w:rPr>
        <w:t xml:space="preserve">Bošnjak, M.: </w:t>
      </w:r>
      <w:r w:rsidR="00E27186">
        <w:rPr>
          <w:i/>
          <w:sz w:val="20"/>
          <w:szCs w:val="20"/>
        </w:rPr>
        <w:t>„buka i vibracije na željeznici“</w:t>
      </w:r>
      <w:r w:rsidR="00E27186">
        <w:rPr>
          <w:sz w:val="20"/>
          <w:szCs w:val="20"/>
        </w:rPr>
        <w:t>, Suvremeni promet, br. 3-4, 2002.</w:t>
      </w:r>
    </w:p>
    <w:p w:rsidR="007179E1" w:rsidRDefault="007179E1" w:rsidP="00D57775">
      <w:pPr>
        <w:spacing w:line="240" w:lineRule="auto"/>
        <w:rPr>
          <w:sz w:val="20"/>
          <w:szCs w:val="20"/>
        </w:rPr>
      </w:pPr>
    </w:p>
    <w:p w:rsidR="006B228E" w:rsidRPr="006B228E" w:rsidRDefault="007179E1" w:rsidP="00D57775">
      <w:pPr>
        <w:spacing w:line="240" w:lineRule="auto"/>
      </w:pPr>
      <w:r>
        <w:t xml:space="preserve">Iz tablice 3. koju je ustanovila Međunarodna željezničke unija da je razina buke manja kod svih vrsta vlakova nego kod automobila, kamiona, zrakoplova i ostalih prometala. </w:t>
      </w:r>
      <w:r w:rsidR="006B228E">
        <w:t xml:space="preserve"> </w:t>
      </w:r>
    </w:p>
    <w:p w:rsidR="00AB5A5D" w:rsidRDefault="00AB5A5D" w:rsidP="00D57775">
      <w:pPr>
        <w:spacing w:line="240" w:lineRule="auto"/>
      </w:pPr>
    </w:p>
    <w:p w:rsidR="00A9273B" w:rsidRDefault="00A9273B" w:rsidP="00D57775">
      <w:pPr>
        <w:pStyle w:val="Heading2"/>
        <w:spacing w:line="240" w:lineRule="auto"/>
      </w:pPr>
      <w:bookmarkStart w:id="20" w:name="_Toc283295166"/>
      <w:bookmarkStart w:id="21" w:name="_Toc283404988"/>
      <w:r>
        <w:t>3.2. Željeznička infrastruktura i okoliš</w:t>
      </w:r>
      <w:bookmarkEnd w:id="20"/>
      <w:bookmarkEnd w:id="21"/>
    </w:p>
    <w:p w:rsidR="00B53903" w:rsidRDefault="00A9273B" w:rsidP="00D57775">
      <w:pPr>
        <w:spacing w:line="240" w:lineRule="auto"/>
      </w:pPr>
      <w:r>
        <w:tab/>
        <w:t xml:space="preserve">Kada se govori o utjecaju željezničke infrastrukture na okoliš u većini slučajeva se misli na utjecaj i izgradnju pruge. To se sagleda u tlu koje doživljava promjene jer preko njega prelazi željeznička pruga. </w:t>
      </w:r>
      <w:r w:rsidR="00B53903">
        <w:t xml:space="preserve">S takvom izgradnjom ili proširenjima pruge iščezavaju zelene površine, smanjuju se obradive površine, stvaraju klizišta. Osim toga događaju se promjene i sa vodama, mijenjaju se prirodni tokovi voda, onečišćuju se ponekad podzemne i površinske </w:t>
      </w:r>
      <w:r w:rsidR="00B53903">
        <w:lastRenderedPageBreak/>
        <w:t>vode, a hidrotehnički zahvati uvjetovani trasom pruge utječu na degradaciju podvodne flore i faune.</w:t>
      </w:r>
      <w:r w:rsidR="00B53903">
        <w:rPr>
          <w:rStyle w:val="FootnoteReference"/>
        </w:rPr>
        <w:footnoteReference w:id="17"/>
      </w:r>
    </w:p>
    <w:p w:rsidR="00B53903" w:rsidRDefault="00B53903" w:rsidP="00D57775">
      <w:pPr>
        <w:spacing w:line="240" w:lineRule="auto"/>
      </w:pPr>
      <w:r>
        <w:tab/>
        <w:t xml:space="preserve">Još je jedan problem utjecaja željezničke infrastrukture na okoliš, broj radionica za popravak i održavanje željezničkih vozila te vagonskih i lokomotivskih praonica. Ovaj infrastrukturni željeznički objekt ima negativni utjecaj na okoliš jer se nalazi u svakom većem kolodvoru i skoro svakom manjem. </w:t>
      </w:r>
      <w:r w:rsidR="00294333">
        <w:t>Taj negativan utjecaj se želi ukloniti smanjivanjem broja radionica i vođenjem računa o njihovoj novoj lokaciji (ne smiju se nalaziti: vodozaštitna područja, kraški tereni, blizina nacionalnih parkova i sl.).</w:t>
      </w:r>
      <w:r w:rsidR="00294333">
        <w:rPr>
          <w:rStyle w:val="FootnoteReference"/>
        </w:rPr>
        <w:footnoteReference w:id="18"/>
      </w:r>
      <w:r w:rsidR="00294333">
        <w:t xml:space="preserve">   </w:t>
      </w:r>
      <w:r>
        <w:t xml:space="preserve"> </w:t>
      </w:r>
    </w:p>
    <w:p w:rsidR="00862118" w:rsidRDefault="00862118" w:rsidP="00D57775">
      <w:pPr>
        <w:spacing w:line="240" w:lineRule="auto"/>
      </w:pPr>
    </w:p>
    <w:p w:rsidR="00862118" w:rsidRDefault="00862118" w:rsidP="00D57775">
      <w:pPr>
        <w:spacing w:line="240" w:lineRule="auto"/>
      </w:pPr>
    </w:p>
    <w:p w:rsidR="00862118" w:rsidRDefault="00862118" w:rsidP="00D57775">
      <w:pPr>
        <w:pStyle w:val="Heading2"/>
        <w:spacing w:line="240" w:lineRule="auto"/>
      </w:pPr>
      <w:bookmarkStart w:id="22" w:name="_Toc283295167"/>
      <w:bookmarkStart w:id="23" w:name="_Toc283404989"/>
      <w:r>
        <w:t>3.3. Utjecaj pogonskih goriva željeznica na okoliš</w:t>
      </w:r>
      <w:bookmarkEnd w:id="22"/>
      <w:bookmarkEnd w:id="23"/>
    </w:p>
    <w:p w:rsidR="00B92729" w:rsidRPr="00B92729" w:rsidRDefault="00B92729" w:rsidP="00B92729"/>
    <w:p w:rsidR="00862118" w:rsidRDefault="00862118" w:rsidP="00D57775">
      <w:pPr>
        <w:spacing w:line="240" w:lineRule="auto"/>
      </w:pPr>
      <w:r>
        <w:tab/>
      </w:r>
      <w:r w:rsidR="00DE26C1">
        <w:t>Za svoj pogon željeznica troši tri vrste energije:</w:t>
      </w:r>
    </w:p>
    <w:p w:rsidR="00DE26C1" w:rsidRDefault="00DE26C1" w:rsidP="00D57775">
      <w:pPr>
        <w:pStyle w:val="ListParagraph"/>
        <w:numPr>
          <w:ilvl w:val="0"/>
          <w:numId w:val="5"/>
        </w:numPr>
        <w:spacing w:line="240" w:lineRule="auto"/>
      </w:pPr>
      <w:r>
        <w:t>Električnu energiju,</w:t>
      </w:r>
    </w:p>
    <w:p w:rsidR="00DE26C1" w:rsidRDefault="00DE26C1" w:rsidP="00D57775">
      <w:pPr>
        <w:pStyle w:val="ListParagraph"/>
        <w:numPr>
          <w:ilvl w:val="0"/>
          <w:numId w:val="5"/>
        </w:numPr>
        <w:spacing w:line="240" w:lineRule="auto"/>
      </w:pPr>
      <w:r>
        <w:t>Tekuća goriva (plinsko ulje),</w:t>
      </w:r>
    </w:p>
    <w:p w:rsidR="00DE26C1" w:rsidRDefault="00DE26C1" w:rsidP="00D57775">
      <w:pPr>
        <w:pStyle w:val="ListParagraph"/>
        <w:numPr>
          <w:ilvl w:val="0"/>
          <w:numId w:val="5"/>
        </w:numPr>
        <w:spacing w:line="240" w:lineRule="auto"/>
      </w:pPr>
      <w:r>
        <w:t>Ugljen.</w:t>
      </w:r>
    </w:p>
    <w:p w:rsidR="00DE26C1" w:rsidRDefault="00DE26C1" w:rsidP="00D57775">
      <w:pPr>
        <w:spacing w:line="240" w:lineRule="auto"/>
      </w:pPr>
      <w:r>
        <w:t>U željezničkih vučnih vozila količina potrošenog goriva ovisi o težini i brzini vlaka, vrsti vlaka, tipu, snazi i konstrukcijskim značajkama diesel motora, njegovu tehničkom stanju i stanju cijele lokomotive i vremenu trajanja pojedinih režima. Veliki utjecaj na potrošnju goriva ima također i obučenost strojnog osoblja, njihovo poznavanje vučnih osobina lokomotive, dobro poznavanje trase, stručnost u svladavanju tehnike vožnje, zatim konfiguracija terena, uvjeti vožnje i sl.</w:t>
      </w:r>
      <w:r>
        <w:rPr>
          <w:rStyle w:val="FootnoteReference"/>
        </w:rPr>
        <w:footnoteReference w:id="19"/>
      </w:r>
    </w:p>
    <w:p w:rsidR="00DE26C1" w:rsidRDefault="00DE26C1" w:rsidP="00D57775">
      <w:pPr>
        <w:spacing w:line="240" w:lineRule="auto"/>
      </w:pPr>
      <w:r>
        <w:tab/>
        <w:t>Dieselska i parna pružna motorna vozila ispuštaju u atmosferu razne štetne tvari: ugljik (II) oksid, dušične okside, sumpor (4) oksid, dim s raznim krutim česticama, ugljik (IV) oksid. Ispušni plinovi željezničkih vučnih vozila prisutni su u atmosferi zbog goriva koji se koriste. Na sastav ispušnog plina diesel – motora lokomotive utječu kemijski sastav goriva, režim rada i vrsta motora, tehničko stanje samog motora i sl. najveći udio u svim komponentama ispušnih plinova čine H</w:t>
      </w:r>
      <w:r>
        <w:rPr>
          <w:vertAlign w:val="subscript"/>
        </w:rPr>
        <w:t>2</w:t>
      </w:r>
      <w:r>
        <w:t>O i CO</w:t>
      </w:r>
      <w:r>
        <w:rPr>
          <w:vertAlign w:val="subscript"/>
        </w:rPr>
        <w:t xml:space="preserve">2 </w:t>
      </w:r>
      <w:r>
        <w:t>i to 98%, zatim oko 2% toksičnih komponenti kao što su CO, CH, NO</w:t>
      </w:r>
      <w:r>
        <w:rPr>
          <w:vertAlign w:val="subscript"/>
        </w:rPr>
        <w:t>x</w:t>
      </w:r>
      <w:r>
        <w:t>, SO</w:t>
      </w:r>
      <w:r>
        <w:rPr>
          <w:vertAlign w:val="subscript"/>
        </w:rPr>
        <w:t>x</w:t>
      </w:r>
      <w:r>
        <w:t xml:space="preserve">, </w:t>
      </w:r>
      <w:r w:rsidR="00CA5F14">
        <w:t>te oko 0,8% krutih čestica.</w:t>
      </w:r>
      <w:r w:rsidR="00C748C1">
        <w:rPr>
          <w:rStyle w:val="FootnoteReference"/>
        </w:rPr>
        <w:footnoteReference w:id="20"/>
      </w:r>
    </w:p>
    <w:p w:rsidR="00D75E6B" w:rsidRDefault="00C748C1" w:rsidP="00D57775">
      <w:pPr>
        <w:spacing w:line="240" w:lineRule="auto"/>
      </w:pPr>
      <w:r>
        <w:tab/>
        <w:t>Iako je na području željezničkog prometa većina magistralnih pravaca u Europi već elektrificirana, ostaju još mnoge pruge kojima se elektrifikacija smatra neisplativom te se kao pogonski strojevi koriste (gotovo uvijek Dieselovi) motori s unutarnjim izgaranjem.</w:t>
      </w:r>
      <w:r>
        <w:rPr>
          <w:rStyle w:val="FootnoteReference"/>
        </w:rPr>
        <w:footnoteReference w:id="21"/>
      </w:r>
      <w:r w:rsidR="00D75E6B">
        <w:t xml:space="preserve"> Pri električnoj vuči kemijskog onečišćenja zraka nema, ali nastaje povećana koncentracija ionizirajućih čestica zraka. Biomedicinska istraživanja pokazuju da ioniziranje čestica zraka ima veliki utjecaj na zdravlje čovjeka, i na okoliš. Povećanje pozitivnih iona u atmosferi uvjetuje umanjenu koncentraciju u čovjeka, nervozu, migrenu, agresivnost, a sve to može dovesti i do prometne nesreće.</w:t>
      </w:r>
      <w:r w:rsidR="00D75E6B">
        <w:rPr>
          <w:rStyle w:val="FootnoteReference"/>
        </w:rPr>
        <w:footnoteReference w:id="22"/>
      </w:r>
    </w:p>
    <w:p w:rsidR="008B7A92" w:rsidRDefault="008B7A92" w:rsidP="00D57775">
      <w:pPr>
        <w:spacing w:after="200" w:line="240" w:lineRule="auto"/>
        <w:jc w:val="left"/>
      </w:pPr>
      <w:r>
        <w:br w:type="page"/>
      </w:r>
    </w:p>
    <w:p w:rsidR="008B7A92" w:rsidRDefault="008B7A92" w:rsidP="00D57775">
      <w:pPr>
        <w:pStyle w:val="Heading1"/>
        <w:spacing w:line="240" w:lineRule="auto"/>
      </w:pPr>
      <w:bookmarkStart w:id="24" w:name="_Toc283295168"/>
      <w:bookmarkStart w:id="25" w:name="_Toc283404990"/>
      <w:r>
        <w:lastRenderedPageBreak/>
        <w:t>4. ŽELJEZNIČKA INFRASTRUKTURA U BUDUĆNOSTI</w:t>
      </w:r>
      <w:bookmarkEnd w:id="24"/>
      <w:bookmarkEnd w:id="25"/>
    </w:p>
    <w:p w:rsidR="008B7A92" w:rsidRDefault="008B7A92" w:rsidP="00D57775">
      <w:pPr>
        <w:spacing w:line="240" w:lineRule="auto"/>
      </w:pPr>
    </w:p>
    <w:p w:rsidR="008B7A92" w:rsidRDefault="008B7A92" w:rsidP="00D57775">
      <w:pPr>
        <w:spacing w:line="240" w:lineRule="auto"/>
      </w:pPr>
      <w:r>
        <w:tab/>
      </w:r>
      <w:r w:rsidR="005C0F75">
        <w:t>„International union of railways“ (UIC – međunarodno udruženje željeznica) teži da ž</w:t>
      </w:r>
      <w:r w:rsidR="00B9381D">
        <w:t xml:space="preserve">eljeznička infrastruktura u budućnosti </w:t>
      </w:r>
      <w:r w:rsidR="005C0F75">
        <w:t>ima</w:t>
      </w:r>
      <w:r w:rsidR="0075023A">
        <w:t xml:space="preserve"> važnu ulogu u preusmjeravanju </w:t>
      </w:r>
      <w:r w:rsidR="00CE5485">
        <w:t xml:space="preserve">više </w:t>
      </w:r>
      <w:r w:rsidR="0075023A">
        <w:t>prometa sa drugih</w:t>
      </w:r>
      <w:r w:rsidR="00CE5485">
        <w:t xml:space="preserve"> prometnih grana na željeznice. Dobrobit </w:t>
      </w:r>
      <w:r w:rsidR="003D057C">
        <w:t>se može postići poboljšanim upravljanjem</w:t>
      </w:r>
      <w:r w:rsidR="00CE5485">
        <w:t xml:space="preserve"> postojećih željezničkih ruta, a primarni fokus će biti u rješavanju uskih grla i koordiniranju putova na važnim željezničkim koridorima. </w:t>
      </w:r>
      <w:r w:rsidR="00B872D3" w:rsidRPr="00B872D3">
        <w:t xml:space="preserve">Kako bi </w:t>
      </w:r>
      <w:r w:rsidR="00C51718">
        <w:t xml:space="preserve">se zadovoljila očekivanja novih operatera, infrastrukturom se mora </w:t>
      </w:r>
      <w:r w:rsidR="00B872D3" w:rsidRPr="00B872D3">
        <w:t xml:space="preserve">upravljati na način koji će osigurati </w:t>
      </w:r>
      <w:r w:rsidR="00C51718">
        <w:t>da se usluge pružaju i usklađuju</w:t>
      </w:r>
      <w:r w:rsidR="00B872D3" w:rsidRPr="00B872D3">
        <w:t xml:space="preserve"> s potrebama klijenata, koji </w:t>
      </w:r>
      <w:r w:rsidR="00C51718">
        <w:t xml:space="preserve">očekuju ostvarenje </w:t>
      </w:r>
      <w:r w:rsidR="00B872D3" w:rsidRPr="00B872D3">
        <w:t>navedenih kriterija kvalitete, osobito na međunarodnim rutama</w:t>
      </w:r>
      <w:r w:rsidR="00C51718">
        <w:t>.</w:t>
      </w:r>
      <w:r w:rsidR="005C0F75">
        <w:rPr>
          <w:rStyle w:val="FootnoteReference"/>
        </w:rPr>
        <w:footnoteReference w:id="23"/>
      </w:r>
    </w:p>
    <w:p w:rsidR="00430BB6" w:rsidRDefault="00430BB6" w:rsidP="00D57775">
      <w:pPr>
        <w:spacing w:line="240" w:lineRule="auto"/>
      </w:pPr>
    </w:p>
    <w:p w:rsidR="00430BB6" w:rsidRDefault="00430BB6" w:rsidP="00D57775">
      <w:pPr>
        <w:pStyle w:val="Heading2"/>
        <w:spacing w:line="240" w:lineRule="auto"/>
      </w:pPr>
      <w:bookmarkStart w:id="26" w:name="_Toc283295169"/>
      <w:bookmarkStart w:id="27" w:name="_Toc283404991"/>
      <w:r>
        <w:t>4.1. Smjernice za poboljšanje željezničke infrastrukture koja će manje štetiti okolišu</w:t>
      </w:r>
      <w:bookmarkEnd w:id="26"/>
      <w:bookmarkEnd w:id="27"/>
    </w:p>
    <w:p w:rsidR="00B92729" w:rsidRPr="00B92729" w:rsidRDefault="00B92729" w:rsidP="00B92729"/>
    <w:p w:rsidR="005862BA" w:rsidRDefault="00466F48" w:rsidP="00D57775">
      <w:pPr>
        <w:spacing w:line="240" w:lineRule="auto"/>
      </w:pPr>
      <w:r>
        <w:tab/>
      </w:r>
      <w:r w:rsidR="00DD3A1B">
        <w:t>Glavna strategija INFRAGUIDER</w:t>
      </w:r>
      <w:r w:rsidR="00DD3A1B">
        <w:rPr>
          <w:rStyle w:val="FootnoteReference"/>
        </w:rPr>
        <w:footnoteReference w:id="24"/>
      </w:r>
      <w:r w:rsidR="00DD3A1B">
        <w:t xml:space="preserve"> projekta je sakupiti informacije i znanja o željezničkoj infrastrukturi i provesti prve akcije </w:t>
      </w:r>
      <w:r w:rsidR="00DD3A1B" w:rsidRPr="00DD3A1B">
        <w:t xml:space="preserve">za konvergenciju na snazi utjecaja na okoliš </w:t>
      </w:r>
      <w:r w:rsidR="0067773D">
        <w:t>te procijeniti i proučiti zadatke i programe</w:t>
      </w:r>
      <w:r w:rsidR="00DD3A1B" w:rsidRPr="00DD3A1B">
        <w:t xml:space="preserve"> za složene željezničke infrastruktur</w:t>
      </w:r>
      <w:r w:rsidR="0067773D">
        <w:t>ne sustave</w:t>
      </w:r>
      <w:r w:rsidR="00DD3A1B" w:rsidRPr="00DD3A1B">
        <w:t>.</w:t>
      </w:r>
      <w:r w:rsidR="0067773D">
        <w:rPr>
          <w:rStyle w:val="FootnoteReference"/>
        </w:rPr>
        <w:footnoteReference w:id="25"/>
      </w:r>
    </w:p>
    <w:p w:rsidR="0067773D" w:rsidRDefault="0067773D" w:rsidP="00D57775">
      <w:pPr>
        <w:spacing w:line="240" w:lineRule="auto"/>
      </w:pPr>
      <w:r>
        <w:tab/>
        <w:t>Ova strategija će se provoditi koordiniranim mehanizmima koji obuhvaćaju:</w:t>
      </w:r>
      <w:r>
        <w:rPr>
          <w:rStyle w:val="FootnoteReference"/>
        </w:rPr>
        <w:footnoteReference w:id="26"/>
      </w:r>
    </w:p>
    <w:p w:rsidR="0067773D" w:rsidRDefault="0067773D" w:rsidP="00D57775">
      <w:pPr>
        <w:pStyle w:val="ListParagraph"/>
        <w:numPr>
          <w:ilvl w:val="0"/>
          <w:numId w:val="7"/>
        </w:numPr>
        <w:spacing w:line="240" w:lineRule="auto"/>
      </w:pPr>
      <w:r>
        <w:t>Integriranim znanstvenim pristupom,</w:t>
      </w:r>
    </w:p>
    <w:p w:rsidR="0067773D" w:rsidRDefault="0067773D" w:rsidP="00D57775">
      <w:pPr>
        <w:pStyle w:val="ListParagraph"/>
        <w:numPr>
          <w:ilvl w:val="0"/>
          <w:numId w:val="7"/>
        </w:numPr>
        <w:spacing w:line="240" w:lineRule="auto"/>
      </w:pPr>
      <w:r>
        <w:t>Integriranim tehničkim pristupom i</w:t>
      </w:r>
    </w:p>
    <w:p w:rsidR="0067773D" w:rsidRDefault="0067773D" w:rsidP="00D57775">
      <w:pPr>
        <w:pStyle w:val="ListParagraph"/>
        <w:numPr>
          <w:ilvl w:val="0"/>
          <w:numId w:val="7"/>
        </w:numPr>
        <w:spacing w:line="240" w:lineRule="auto"/>
      </w:pPr>
      <w:r>
        <w:t>Strategijskim menadžmentom.</w:t>
      </w:r>
    </w:p>
    <w:p w:rsidR="0062632C" w:rsidRDefault="0062632C" w:rsidP="00D57775">
      <w:pPr>
        <w:spacing w:line="240" w:lineRule="auto"/>
        <w:ind w:left="360"/>
      </w:pPr>
      <w:r>
        <w:t>Posebna će se pažnja posvetiti nadgledanju slijedećih indikatora u postocima:</w:t>
      </w:r>
    </w:p>
    <w:p w:rsidR="0062632C" w:rsidRDefault="0070561A" w:rsidP="00D57775">
      <w:pPr>
        <w:pStyle w:val="ListParagraph"/>
        <w:numPr>
          <w:ilvl w:val="0"/>
          <w:numId w:val="9"/>
        </w:numPr>
        <w:spacing w:line="240" w:lineRule="auto"/>
      </w:pPr>
      <w:r>
        <w:t>Reduciranju potrošnje energije,</w:t>
      </w:r>
    </w:p>
    <w:p w:rsidR="0070561A" w:rsidRDefault="0070561A" w:rsidP="00D57775">
      <w:pPr>
        <w:pStyle w:val="ListParagraph"/>
        <w:numPr>
          <w:ilvl w:val="0"/>
          <w:numId w:val="9"/>
        </w:numPr>
        <w:spacing w:line="240" w:lineRule="auto"/>
      </w:pPr>
      <w:r>
        <w:t>Reduciranju otpada,</w:t>
      </w:r>
    </w:p>
    <w:p w:rsidR="00421964" w:rsidRDefault="0070561A" w:rsidP="00D57775">
      <w:pPr>
        <w:pStyle w:val="ListParagraph"/>
        <w:numPr>
          <w:ilvl w:val="0"/>
          <w:numId w:val="9"/>
        </w:numPr>
        <w:spacing w:line="240" w:lineRule="auto"/>
      </w:pPr>
      <w:r>
        <w:t xml:space="preserve">Reduciranju </w:t>
      </w:r>
      <w:r w:rsidR="00421964">
        <w:t>emisija štetnih plinova,</w:t>
      </w:r>
    </w:p>
    <w:p w:rsidR="0070561A" w:rsidRDefault="00421964" w:rsidP="00D57775">
      <w:pPr>
        <w:pStyle w:val="ListParagraph"/>
        <w:numPr>
          <w:ilvl w:val="0"/>
          <w:numId w:val="9"/>
        </w:numPr>
        <w:spacing w:line="240" w:lineRule="auto"/>
      </w:pPr>
      <w:r>
        <w:t>Reduciranju potrošnje industrijske vode i</w:t>
      </w:r>
      <w:r w:rsidR="0070561A">
        <w:t xml:space="preserve"> </w:t>
      </w:r>
    </w:p>
    <w:p w:rsidR="0070561A" w:rsidRDefault="0070561A" w:rsidP="00D57775">
      <w:pPr>
        <w:pStyle w:val="ListParagraph"/>
        <w:numPr>
          <w:ilvl w:val="0"/>
          <w:numId w:val="9"/>
        </w:numPr>
        <w:spacing w:line="240" w:lineRule="auto"/>
      </w:pPr>
      <w:r>
        <w:t xml:space="preserve">Reduciranju potrošnje </w:t>
      </w:r>
      <w:r w:rsidR="00421964">
        <w:t xml:space="preserve">pitke </w:t>
      </w:r>
      <w:r>
        <w:t>vode.</w:t>
      </w:r>
      <w:r>
        <w:rPr>
          <w:rStyle w:val="FootnoteReference"/>
        </w:rPr>
        <w:footnoteReference w:id="27"/>
      </w:r>
    </w:p>
    <w:p w:rsidR="00421964" w:rsidRDefault="00421964" w:rsidP="00D57775">
      <w:pPr>
        <w:spacing w:line="240" w:lineRule="auto"/>
      </w:pPr>
    </w:p>
    <w:p w:rsidR="00421964" w:rsidRDefault="009152C5" w:rsidP="00D57775">
      <w:pPr>
        <w:pStyle w:val="Heading2"/>
        <w:spacing w:line="240" w:lineRule="auto"/>
      </w:pPr>
      <w:bookmarkStart w:id="28" w:name="_Toc283295170"/>
      <w:bookmarkStart w:id="29" w:name="_Toc283404992"/>
      <w:r>
        <w:t>4.2. Inovativna rješenja energetske učinkovitosti za željezničku infrastrukturu</w:t>
      </w:r>
      <w:bookmarkEnd w:id="28"/>
      <w:bookmarkEnd w:id="29"/>
    </w:p>
    <w:p w:rsidR="00B92729" w:rsidRPr="00B92729" w:rsidRDefault="00B92729" w:rsidP="00B92729"/>
    <w:p w:rsidR="009152C5" w:rsidRDefault="003E454A" w:rsidP="00D57775">
      <w:pPr>
        <w:spacing w:line="240" w:lineRule="auto"/>
      </w:pPr>
      <w:r>
        <w:tab/>
        <w:t>Glavni cilj RAILENERGY</w:t>
      </w:r>
      <w:r>
        <w:rPr>
          <w:rStyle w:val="FootnoteReference"/>
        </w:rPr>
        <w:footnoteReference w:id="28"/>
      </w:r>
      <w:r>
        <w:t xml:space="preserve"> projekta je smanjiti potrošnju energije razvijajući potpuni pristup, nove koncepcije i integrirana tehnička i tehnološka rješenja za unapređenje energetske učinkovitosti. Smatra se da će do 2020. godine </w:t>
      </w:r>
      <w:r w:rsidR="00E92FC1">
        <w:t>uspjeti reducirati, odnosno smanjiti specifičnu potrošnju energije do 6% na svim željezničkim sustavima, uzimajući u obzir da će se promet udvostručiti.</w:t>
      </w:r>
      <w:r w:rsidR="00E92FC1">
        <w:rPr>
          <w:rStyle w:val="FootnoteReference"/>
        </w:rPr>
        <w:footnoteReference w:id="29"/>
      </w:r>
      <w:r>
        <w:t xml:space="preserve"> </w:t>
      </w:r>
    </w:p>
    <w:p w:rsidR="00495469" w:rsidRPr="00495469" w:rsidRDefault="00495469" w:rsidP="00D57775">
      <w:pPr>
        <w:spacing w:line="240" w:lineRule="auto"/>
      </w:pPr>
      <w:r>
        <w:lastRenderedPageBreak/>
        <w:tab/>
        <w:t>U budućnosti, kako bližoj tako i daljoj raditi će se na istraživanju i donošenju inovativnih rješenja za željezničku infrastrukturu</w:t>
      </w:r>
      <w:r w:rsidR="0036558E">
        <w:t>, smanjiti potrošnju energije. T</w:t>
      </w:r>
      <w:r>
        <w:t>o se svakako misli postići reduciranjem CO</w:t>
      </w:r>
      <w:r>
        <w:rPr>
          <w:vertAlign w:val="subscript"/>
        </w:rPr>
        <w:t xml:space="preserve">2 </w:t>
      </w:r>
      <w:r>
        <w:t>emisija.</w:t>
      </w:r>
      <w:r>
        <w:rPr>
          <w:rStyle w:val="FootnoteReference"/>
        </w:rPr>
        <w:footnoteReference w:id="30"/>
      </w:r>
    </w:p>
    <w:p w:rsidR="00E92FC1" w:rsidRDefault="00E92FC1" w:rsidP="00D57775">
      <w:pPr>
        <w:spacing w:line="240" w:lineRule="auto"/>
      </w:pPr>
      <w:r>
        <w:tab/>
      </w:r>
      <w:r w:rsidR="0082650F">
        <w:t>N</w:t>
      </w:r>
      <w:r w:rsidR="0036558E">
        <w:t xml:space="preserve">ajvažnije mjere </w:t>
      </w:r>
      <w:r w:rsidR="0082650F">
        <w:t>za poboljšanje željezničke učinkovitosti energije:</w:t>
      </w:r>
    </w:p>
    <w:p w:rsidR="0082650F" w:rsidRDefault="0082650F" w:rsidP="00D57775">
      <w:pPr>
        <w:pStyle w:val="ListParagraph"/>
        <w:numPr>
          <w:ilvl w:val="0"/>
          <w:numId w:val="10"/>
        </w:numPr>
        <w:spacing w:line="240" w:lineRule="auto"/>
      </w:pPr>
      <w:r>
        <w:t>Eko – vožnja,</w:t>
      </w:r>
    </w:p>
    <w:p w:rsidR="0082650F" w:rsidRDefault="0082650F" w:rsidP="00D57775">
      <w:pPr>
        <w:pStyle w:val="ListParagraph"/>
        <w:numPr>
          <w:ilvl w:val="0"/>
          <w:numId w:val="10"/>
        </w:numPr>
        <w:spacing w:line="240" w:lineRule="auto"/>
      </w:pPr>
      <w:r>
        <w:t xml:space="preserve">Obnova energije i </w:t>
      </w:r>
    </w:p>
    <w:p w:rsidR="0082650F" w:rsidRDefault="0082650F" w:rsidP="00D57775">
      <w:pPr>
        <w:pStyle w:val="ListParagraph"/>
        <w:numPr>
          <w:ilvl w:val="0"/>
          <w:numId w:val="10"/>
        </w:numPr>
        <w:spacing w:line="240" w:lineRule="auto"/>
      </w:pPr>
      <w:r>
        <w:t>Porezne mjere.</w:t>
      </w:r>
    </w:p>
    <w:p w:rsidR="00657832" w:rsidRDefault="00657832" w:rsidP="00D57775">
      <w:pPr>
        <w:spacing w:line="240" w:lineRule="auto"/>
      </w:pPr>
      <w:r>
        <w:t>Neke od novih tehnologija su svakako biogoriva koja bi mogla postati jako važna ukoliko im cijena bude realna, hibridna tehnologija može imati mali utjecaj na npr. manevriranje, ćelije goriva i sl.</w:t>
      </w:r>
      <w:r>
        <w:rPr>
          <w:rStyle w:val="FootnoteReference"/>
        </w:rPr>
        <w:footnoteReference w:id="31"/>
      </w:r>
    </w:p>
    <w:p w:rsidR="00657832" w:rsidRDefault="00657832" w:rsidP="00D57775">
      <w:pPr>
        <w:spacing w:line="240" w:lineRule="auto"/>
      </w:pPr>
      <w:r>
        <w:tab/>
      </w:r>
      <w:r w:rsidR="00C74D7A">
        <w:t>Istraživanja napravljena s biogorivima u željezničkom prometu na dizel-motornim vlakovima dokučila su da je najprikladniji izbor biodizel, te za sada većina proizvođača motora odobrava korištenje 5%</w:t>
      </w:r>
      <w:r w:rsidR="00AC3804">
        <w:t xml:space="preserve"> mješavina s biodizelom. Jedan od ciljeva je u što kraćem vremenu provesti istraživanja o mogućim negativnim učincima biodizela i utvrditi najnižu okolišnu temperaturu u eksploataciji i time prilagoditi gorivo, raditi učestale preglede motora i filtra za gorivo kako bi biodizel bio jedan od „dobrih“ pogona.</w:t>
      </w:r>
      <w:r w:rsidR="00AC3804">
        <w:rPr>
          <w:rStyle w:val="FootnoteReference"/>
        </w:rPr>
        <w:footnoteReference w:id="32"/>
      </w:r>
    </w:p>
    <w:p w:rsidR="00D95C9E" w:rsidRDefault="00AC3804" w:rsidP="00D57775">
      <w:pPr>
        <w:spacing w:line="240" w:lineRule="auto"/>
      </w:pPr>
      <w:r>
        <w:tab/>
        <w:t>Budućnost je svakako željeznica u zaštiti okoliša jer kada bi se samo 5% tereta što se u razvijenim zemljama prevoze cestom bilo preusmjereno na prijevoz elektrificiranim prugama, uštedjela bi se šestina ukupne količine nafte koje te zemlje uvezu sa Srednjeg istoka.</w:t>
      </w:r>
      <w:r>
        <w:rPr>
          <w:rStyle w:val="FootnoteReference"/>
        </w:rPr>
        <w:footnoteReference w:id="33"/>
      </w:r>
    </w:p>
    <w:p w:rsidR="00430BB6" w:rsidRDefault="00D95C9E" w:rsidP="00D57775">
      <w:pPr>
        <w:spacing w:line="240" w:lineRule="auto"/>
      </w:pPr>
      <w:r>
        <w:tab/>
        <w:t>Prednost je velika elektrificiranih pruga što se primarni energetski izvori iskorištavaju na najracionalniji način, pa se stoga budućnosti i napretkom u zaštiti okoliša i očuvanju energije, elektrificirane pruge biti najprihvatljiviji oblik prijevoza u budućnosti.</w:t>
      </w:r>
      <w:r>
        <w:rPr>
          <w:rStyle w:val="FootnoteReference"/>
        </w:rPr>
        <w:footnoteReference w:id="34"/>
      </w:r>
    </w:p>
    <w:p w:rsidR="00D95C9E" w:rsidRDefault="00D95C9E" w:rsidP="00D57775">
      <w:pPr>
        <w:spacing w:line="240" w:lineRule="auto"/>
      </w:pPr>
      <w:r>
        <w:tab/>
      </w:r>
    </w:p>
    <w:p w:rsidR="00382F10" w:rsidRDefault="00382F10" w:rsidP="00D57775">
      <w:pPr>
        <w:pStyle w:val="Heading2"/>
        <w:spacing w:line="240" w:lineRule="auto"/>
      </w:pPr>
      <w:bookmarkStart w:id="30" w:name="_Toc283295171"/>
      <w:bookmarkStart w:id="31" w:name="_Toc283404993"/>
      <w:r>
        <w:t>4.3. Nova generacija vlakova</w:t>
      </w:r>
      <w:bookmarkEnd w:id="30"/>
      <w:bookmarkEnd w:id="31"/>
    </w:p>
    <w:p w:rsidR="00B92729" w:rsidRPr="00B92729" w:rsidRDefault="00B92729" w:rsidP="00B92729"/>
    <w:p w:rsidR="00382F10" w:rsidRDefault="00382F10" w:rsidP="00D57775">
      <w:pPr>
        <w:spacing w:line="240" w:lineRule="auto"/>
        <w:ind w:firstLine="708"/>
        <w:rPr>
          <w:rFonts w:eastAsia="Calibri" w:cs="Times New Roman"/>
        </w:rPr>
      </w:pPr>
      <w:r w:rsidRPr="00A1190B">
        <w:rPr>
          <w:rFonts w:eastAsia="Calibri" w:cs="Times New Roman"/>
        </w:rPr>
        <w:t>Razvijene zemlje su danas suočene s velikim prometnim poteškoćama. Zbog kilometarskih automobilskih kolona na autocestama, gužvi u zračnim lukama, sve češćih kašnjenja aviona te povećanja štetnog utjecaja  prometa na okoliš u posljednjih se tridesetak godina intenzivno razmatraju moguće promjene i poboljšanja postojećih transportnih sustava.</w:t>
      </w:r>
      <w:r>
        <w:rPr>
          <w:rStyle w:val="FootnoteReference"/>
          <w:rFonts w:eastAsia="Calibri" w:cs="Times New Roman"/>
        </w:rPr>
        <w:footnoteReference w:id="35"/>
      </w:r>
      <w:r>
        <w:rPr>
          <w:rFonts w:eastAsia="Calibri" w:cs="Times New Roman"/>
        </w:rPr>
        <w:t xml:space="preserve"> </w:t>
      </w:r>
    </w:p>
    <w:p w:rsidR="00382F10" w:rsidRDefault="00382F10" w:rsidP="00D57775">
      <w:pPr>
        <w:spacing w:line="240" w:lineRule="auto"/>
        <w:ind w:firstLine="708"/>
        <w:rPr>
          <w:rFonts w:eastAsia="Calibri" w:cs="Times New Roman"/>
        </w:rPr>
      </w:pPr>
      <w:r>
        <w:rPr>
          <w:rFonts w:eastAsia="Calibri" w:cs="Times New Roman"/>
        </w:rPr>
        <w:t>Uvođenjem vlakova velikih brzina ostvaruje se brži prijevoz velikih kapaciteta što utječe na   smanjenje gužvi i zastoja u drugim prometnim sustavima. Smatraju se vrlo energetski učinkovitima te manje štetnima za okoliš zbog male emisije štetnih plinova pošto su na električni pogon.</w:t>
      </w:r>
      <w:r>
        <w:rPr>
          <w:rStyle w:val="FootnoteReference"/>
          <w:rFonts w:eastAsia="Calibri" w:cs="Times New Roman"/>
        </w:rPr>
        <w:footnoteReference w:id="36"/>
      </w:r>
      <w:r>
        <w:rPr>
          <w:rFonts w:eastAsia="Calibri" w:cs="Times New Roman"/>
        </w:rPr>
        <w:t xml:space="preserve"> Kratko vrijeme vožnje, sigurnost i udobnost učinili su vlakove velikih brzina privlačnima na relacijama od 200 do 500 kilometara.</w:t>
      </w:r>
      <w:r>
        <w:rPr>
          <w:rStyle w:val="FootnoteReference"/>
          <w:rFonts w:eastAsia="Calibri" w:cs="Times New Roman"/>
        </w:rPr>
        <w:footnoteReference w:id="37"/>
      </w:r>
      <w:r>
        <w:rPr>
          <w:rFonts w:eastAsia="Calibri" w:cs="Times New Roman"/>
        </w:rPr>
        <w:t xml:space="preserve"> </w:t>
      </w:r>
      <w:r>
        <w:rPr>
          <w:rFonts w:eastAsia="Calibri" w:cs="Times New Roman"/>
          <w:color w:val="000000"/>
        </w:rPr>
        <w:t xml:space="preserve">Obično voze brzinama  preko 200 km/h u redovitom linijskom prometu po prugama koje su većim djelom specijalizirane za brzu vožnju, sa signalima koji stanje javljaju direktno strojovođi u kabinu. Neki vlakovi imaju čak toliko razvijen sustav upravljanja da računalo upravlja i samo </w:t>
      </w:r>
      <w:r>
        <w:rPr>
          <w:rFonts w:eastAsia="Calibri" w:cs="Times New Roman"/>
          <w:color w:val="000000"/>
        </w:rPr>
        <w:lastRenderedPageBreak/>
        <w:t>automatski određuje brzinu, a strojovođa samo nadzire ispravan rad sustava.</w:t>
      </w:r>
      <w:r>
        <w:rPr>
          <w:rStyle w:val="FootnoteReference"/>
          <w:rFonts w:eastAsia="Calibri" w:cs="Times New Roman"/>
          <w:color w:val="000000"/>
        </w:rPr>
        <w:footnoteReference w:id="38"/>
      </w:r>
      <w:r>
        <w:rPr>
          <w:rFonts w:eastAsia="Calibri" w:cs="Times New Roman"/>
          <w:color w:val="000000"/>
        </w:rPr>
        <w:t xml:space="preserve"> </w:t>
      </w:r>
      <w:r w:rsidRPr="004A1246">
        <w:rPr>
          <w:rFonts w:eastAsia="Calibri" w:cs="Times New Roman"/>
          <w:color w:val="000000"/>
        </w:rPr>
        <w:t>Francuski TGV (vlak velikih brzina) 2007. godine vozio je  brzinom većom od 574 km/h te tako postigao svjetski rekord, no bio je to eksperimentalni vlak s posebnim motorom i na posebno dizajniranoj pruzi</w:t>
      </w:r>
      <w:r>
        <w:rPr>
          <w:rFonts w:ascii="Arial" w:eastAsia="Calibri" w:hAnsi="Arial" w:cs="Arial"/>
          <w:color w:val="000000"/>
        </w:rPr>
        <w:t xml:space="preserve">, </w:t>
      </w:r>
      <w:r>
        <w:rPr>
          <w:rFonts w:eastAsia="Calibri" w:cs="Times New Roman"/>
          <w:color w:val="000000"/>
        </w:rPr>
        <w:t>dok je kineski redovni putnički  vlak postigao brzinu od 486 km/h iako nije bio posebno prilagođen za tu svrhu.</w:t>
      </w:r>
      <w:r>
        <w:rPr>
          <w:rStyle w:val="FootnoteReference"/>
          <w:rFonts w:eastAsia="Calibri" w:cs="Times New Roman"/>
          <w:color w:val="000000"/>
        </w:rPr>
        <w:footnoteReference w:id="39"/>
      </w:r>
      <w:r>
        <w:rPr>
          <w:rFonts w:eastAsia="Calibri" w:cs="Times New Roman"/>
        </w:rPr>
        <w:tab/>
        <w:t xml:space="preserve"> </w:t>
      </w:r>
    </w:p>
    <w:p w:rsidR="00B92729" w:rsidRDefault="00382F10" w:rsidP="00B92729">
      <w:pPr>
        <w:spacing w:line="240" w:lineRule="auto"/>
        <w:ind w:firstLine="708"/>
        <w:rPr>
          <w:rFonts w:eastAsia="Calibri" w:cs="Times New Roman"/>
        </w:rPr>
      </w:pPr>
      <w:r>
        <w:rPr>
          <w:rFonts w:eastAsia="Calibri" w:cs="Times New Roman"/>
        </w:rPr>
        <w:t>Tijekom razvoja vlakova velikih brzina bilo je mnogo promjena u tehnologiji koju koriste, najnovija promjena su maglev vlakovi. Maglev vlakovi odnosno lebdeći vlakovi koriste magnete nabijene elektricitetom zbog kojih vlak levitira iznad tračnica što mu omogućuje da postigne iznimno velike brzine.</w:t>
      </w:r>
      <w:r>
        <w:rPr>
          <w:rStyle w:val="FootnoteReference"/>
          <w:rFonts w:eastAsia="Calibri" w:cs="Times New Roman"/>
        </w:rPr>
        <w:footnoteReference w:id="40"/>
      </w:r>
    </w:p>
    <w:p w:rsidR="00B92729" w:rsidRPr="00A1190B" w:rsidRDefault="00B92729" w:rsidP="00B92729">
      <w:pPr>
        <w:spacing w:after="200" w:line="276" w:lineRule="auto"/>
        <w:jc w:val="left"/>
        <w:rPr>
          <w:rFonts w:eastAsia="Calibri" w:cs="Times New Roman"/>
        </w:rPr>
      </w:pPr>
      <w:r>
        <w:rPr>
          <w:rFonts w:eastAsia="Calibri" w:cs="Times New Roman"/>
        </w:rPr>
        <w:br w:type="page"/>
      </w:r>
    </w:p>
    <w:p w:rsidR="00D75E6B" w:rsidRPr="00582FF3" w:rsidRDefault="00582FF3" w:rsidP="00D57775">
      <w:pPr>
        <w:pStyle w:val="Heading1"/>
        <w:spacing w:line="240" w:lineRule="auto"/>
      </w:pPr>
      <w:r>
        <w:lastRenderedPageBreak/>
        <w:t xml:space="preserve"> </w:t>
      </w:r>
      <w:bookmarkStart w:id="32" w:name="_Toc283295172"/>
      <w:bookmarkStart w:id="33" w:name="_Toc283404994"/>
      <w:r>
        <w:t>5. ZAKLJUČAK</w:t>
      </w:r>
      <w:bookmarkEnd w:id="32"/>
      <w:bookmarkEnd w:id="33"/>
    </w:p>
    <w:p w:rsidR="00382F10" w:rsidRDefault="00382F10" w:rsidP="00D57775">
      <w:pPr>
        <w:spacing w:line="240" w:lineRule="auto"/>
      </w:pPr>
    </w:p>
    <w:p w:rsidR="00382F10" w:rsidRDefault="00382F10" w:rsidP="00D57775">
      <w:pPr>
        <w:spacing w:line="240" w:lineRule="auto"/>
        <w:ind w:firstLine="708"/>
      </w:pPr>
      <w:r>
        <w:t>Pri kreiranju ovog seminarskog rada detaljno su proučeni brojni znanstveni članci, knjige, projekti koji se bave konkretno ovom problematikom te razne literature koje su nam pomogle o donošenju kontemplativnih zaključaka o utjecaju željezničke infrastrukture na okoliš. Saznali smo da je promet sam po sebi sa svim svojim granama i podgranama negativan čimbenik koji svojim negativnim djelovanjem utječe na okoliš i čovjekovo prirodno okruženje. Pri provođenju komparacije svih prometnih grana s željezničkim prometom ustanovili smo da cestovni promet najviše šteti prirodnom okruženju čovjeka i okolišu. Došli smo do zapanjujućih podataka kroz koje smo dokazali da promet kao sustav participira 30% u emisiji CO</w:t>
      </w:r>
      <w:r>
        <w:rPr>
          <w:rFonts w:cs="Times New Roman"/>
          <w:sz w:val="12"/>
          <w:szCs w:val="12"/>
        </w:rPr>
        <w:t xml:space="preserve">2,  </w:t>
      </w:r>
      <w:r>
        <w:rPr>
          <w:rFonts w:cs="Times New Roman"/>
          <w:szCs w:val="24"/>
        </w:rPr>
        <w:t>a pri tome na cestovni promet otpada 80% iste emisije.  Cestovni promet ne samo da uvelike onečišćuje atmosferu, već i pospješuje veliku potrošnju energije i naftnih resursa (znanstvenici su dokazali da je vise od pola naftnih resursa potrošeno te da nafte ima još za otprilike dvadesetak godina). U</w:t>
      </w:r>
      <w:r>
        <w:t>koliko bi smanjili cestovni promet za 6% te prekrcaj robe i putnika obavljali željeznicama na električni pogon  povećali bi jednu šestinu potrošnje naftnih resursa, što zapravo znači da bi tako godišnje uštedjeli cca. 15% nafte kao pogonskog goriva. Kreiranjem ovog rada te rezimiranjem potrebnih znanstvenih metoda uvidjeli smo da je željeznički promet (u koji ubrajamo željezničku infrastrukturu i suprastrukturu) najekonomičniji, najsigurniji i najpovoljniji oblik prometa za čovjeka, prirodu i okoliš. Dovoljno je reći da samo u Hrvatskoj na ceste otpada oko 30000km</w:t>
      </w:r>
      <w:r>
        <w:rPr>
          <w:vertAlign w:val="superscript"/>
        </w:rPr>
        <w:t xml:space="preserve">2 </w:t>
      </w:r>
      <w:r>
        <w:t>na cestovnu infrastrukturu, a na željezničku samo oko 3000km</w:t>
      </w:r>
      <w:r>
        <w:rPr>
          <w:vertAlign w:val="superscript"/>
        </w:rPr>
        <w:t>2</w:t>
      </w:r>
      <w:r>
        <w:t>. Samim time cestovni promet uvelike ugrožava okoliš ispuštanjem negativnih tvari iz asfalta u tlo. Dakle kao što smo rekli željeznički promet je krucijalan oblik prometa koji najviše pogoduje očuvanju okoliša, iako je najmanje štetan željeznički promet također negativno utječe na prirodno okruženje čovjeka i okoliš. Iz tog razloga od samih početaka ovog načina transporta se teži modernijem i humanijem pristupu te modernizaciji. U novije vrijeme Europski komiteti razvijaju brojne projekte nebi li i taj „neznatni“ udio štetnog utjecaja na okoliš reducirali na minimum. Teži se brojnim segmentima i ostvarivanju brojnih čimbenika kako bi se riješila problematika štetnog utjecaja željezničke infrastrukture na okoliš. Željeznička infrastruktura štetno utječe na okoliš velikom raznim buke, podrhtavanjem tla, mogućim nesrećama na pruzi, onečišćenju voda i tla te emisijom štetnih plinova u atmosferu. Stoga brojni projekti teže prebacivanju kompletne željezničke infrastrukture s diesel goriva na bio goriva kao pogona ili još bolje kompletnim  prebacivanjem na električni pogon. Također se teži kompletnoj promjeni infrastrukture koja bi manje utjecala na tlo. U današnje vrijeme u najrazvijenijim zemljama Svijeta (Kina,Japan,Francuska,Njemačka) razvijeni su vlakovi velike brzine takozvani vlakovi nove generacije. Takvi vlakovi dosežu brzinu do 400km/h. Vlakovi su pogonjeni elektromagnetskim silama te tako velike brzine dosežu levitirajući prugom. Kašnjenja ovakvih vlakova su u potpunosti reducirana, a ljudi i roba mogu preći i desetke tisuća kilometara u nekoliko sati. Nove generacije vlakova u budućnosti biti će u potpunosti pogonjene elektromagnetnim silama, a naknadno će se razvijati i drugi oblici pogona te bi vlakovi budućnosti levitirali prugom na zračnim jastucima. Iz svih istraživanja došli smo do zaključaka da bi trebali što više težiti prebacivanju svih transportnih tj. prometnih grana na željeznički promet jer željeznički promet pridonosi očuvanju okoliša i štednji prirodnih resursa i energije.</w:t>
      </w:r>
    </w:p>
    <w:p w:rsidR="00381E6D" w:rsidRPr="009A5D35" w:rsidRDefault="00381E6D" w:rsidP="00D57775">
      <w:pPr>
        <w:spacing w:after="200" w:line="240" w:lineRule="auto"/>
        <w:jc w:val="left"/>
      </w:pPr>
      <w:r>
        <w:br w:type="page"/>
      </w:r>
    </w:p>
    <w:p w:rsidR="00582FF3" w:rsidRDefault="00582FF3" w:rsidP="00D57775">
      <w:pPr>
        <w:pStyle w:val="Heading1"/>
        <w:spacing w:line="240" w:lineRule="auto"/>
      </w:pPr>
      <w:bookmarkStart w:id="34" w:name="_Toc283295173"/>
      <w:bookmarkStart w:id="35" w:name="_Toc283404995"/>
      <w:r>
        <w:lastRenderedPageBreak/>
        <w:t>LITERATURA</w:t>
      </w:r>
      <w:bookmarkEnd w:id="34"/>
      <w:bookmarkEnd w:id="35"/>
    </w:p>
    <w:p w:rsidR="00582FF3" w:rsidRDefault="00582FF3" w:rsidP="00D57775">
      <w:pPr>
        <w:spacing w:line="240" w:lineRule="auto"/>
      </w:pPr>
    </w:p>
    <w:p w:rsidR="00582FF3" w:rsidRDefault="00582FF3" w:rsidP="00D57775">
      <w:pPr>
        <w:spacing w:line="240" w:lineRule="auto"/>
        <w:rPr>
          <w:i/>
        </w:rPr>
      </w:pPr>
      <w:r>
        <w:rPr>
          <w:i/>
        </w:rPr>
        <w:t xml:space="preserve">Knjige: </w:t>
      </w:r>
    </w:p>
    <w:p w:rsidR="00582FF3" w:rsidRDefault="00582FF3" w:rsidP="00D57775">
      <w:pPr>
        <w:pStyle w:val="ListParagraph"/>
        <w:numPr>
          <w:ilvl w:val="0"/>
          <w:numId w:val="12"/>
        </w:numPr>
        <w:spacing w:line="240" w:lineRule="auto"/>
      </w:pPr>
      <w:r>
        <w:t>Baričević, H.: „</w:t>
      </w:r>
      <w:r w:rsidRPr="00582FF3">
        <w:rPr>
          <w:i/>
        </w:rPr>
        <w:t>Promet u turizmu</w:t>
      </w:r>
      <w:r>
        <w:t>“, Visoka škola za turizam Šibenik, Šibenik, 2003.</w:t>
      </w:r>
    </w:p>
    <w:p w:rsidR="00582FF3" w:rsidRDefault="00582FF3" w:rsidP="00D57775">
      <w:pPr>
        <w:pStyle w:val="ListParagraph"/>
        <w:numPr>
          <w:ilvl w:val="0"/>
          <w:numId w:val="12"/>
        </w:numPr>
        <w:spacing w:line="240" w:lineRule="auto"/>
      </w:pPr>
      <w:r>
        <w:t>Baričević, H.:</w:t>
      </w:r>
      <w:r w:rsidRPr="00582FF3">
        <w:rPr>
          <w:rFonts w:eastAsia="Calibri" w:cs="Times New Roman"/>
        </w:rPr>
        <w:t xml:space="preserve"> </w:t>
      </w:r>
      <w:r>
        <w:t>„</w:t>
      </w:r>
      <w:r w:rsidRPr="00582FF3">
        <w:rPr>
          <w:rFonts w:eastAsia="Calibri" w:cs="Times New Roman"/>
          <w:i/>
        </w:rPr>
        <w:t>Tehnologija kopnenog prometa</w:t>
      </w:r>
      <w:r w:rsidRPr="00582FF3">
        <w:rPr>
          <w:i/>
        </w:rPr>
        <w:t>“</w:t>
      </w:r>
      <w:r w:rsidRPr="00582FF3">
        <w:rPr>
          <w:rFonts w:eastAsia="Calibri" w:cs="Times New Roman"/>
        </w:rPr>
        <w:t xml:space="preserve">, </w:t>
      </w:r>
      <w:r>
        <w:t xml:space="preserve">Pomorski fakultet u Rijeci, </w:t>
      </w:r>
      <w:r w:rsidRPr="00582FF3">
        <w:rPr>
          <w:rFonts w:eastAsia="Calibri" w:cs="Times New Roman"/>
        </w:rPr>
        <w:t>Rijeka, 2001.</w:t>
      </w:r>
      <w:r>
        <w:t xml:space="preserve"> </w:t>
      </w:r>
    </w:p>
    <w:p w:rsidR="00582FF3" w:rsidRDefault="00582FF3" w:rsidP="00D57775">
      <w:pPr>
        <w:pStyle w:val="ListParagraph"/>
        <w:numPr>
          <w:ilvl w:val="0"/>
          <w:numId w:val="12"/>
        </w:numPr>
        <w:spacing w:line="240" w:lineRule="auto"/>
      </w:pPr>
      <w:r>
        <w:t>Golubić, J.: „</w:t>
      </w:r>
      <w:r w:rsidRPr="00582FF3">
        <w:rPr>
          <w:i/>
        </w:rPr>
        <w:t>Promet i okoliš“</w:t>
      </w:r>
      <w:r>
        <w:t>, Fakultet prometnih znanosti, Sveučilište u Zagrebu, Zagreb, 1999.</w:t>
      </w:r>
    </w:p>
    <w:p w:rsidR="00582FF3" w:rsidRDefault="00582FF3" w:rsidP="00D57775">
      <w:pPr>
        <w:spacing w:line="240" w:lineRule="auto"/>
      </w:pPr>
    </w:p>
    <w:p w:rsidR="00582FF3" w:rsidRDefault="00582FF3" w:rsidP="00D57775">
      <w:pPr>
        <w:spacing w:line="240" w:lineRule="auto"/>
        <w:rPr>
          <w:i/>
        </w:rPr>
      </w:pPr>
      <w:r>
        <w:rPr>
          <w:i/>
        </w:rPr>
        <w:t>Članci:</w:t>
      </w:r>
    </w:p>
    <w:p w:rsidR="005259E9" w:rsidRDefault="005259E9" w:rsidP="00D57775">
      <w:pPr>
        <w:pStyle w:val="ListParagraph"/>
        <w:numPr>
          <w:ilvl w:val="0"/>
          <w:numId w:val="13"/>
        </w:numPr>
        <w:spacing w:line="240" w:lineRule="auto"/>
      </w:pPr>
      <w:r>
        <w:t>Dalton, G., Zuber, P.: „</w:t>
      </w:r>
      <w:r w:rsidRPr="005259E9">
        <w:rPr>
          <w:i/>
        </w:rPr>
        <w:t xml:space="preserve">Plans for the future development of rail infrastructure“, </w:t>
      </w:r>
      <w:r>
        <w:t>Innovations for Railway Track, UIC, Pariz, 2001.</w:t>
      </w:r>
    </w:p>
    <w:p w:rsidR="005259E9" w:rsidRDefault="005259E9" w:rsidP="00D57775">
      <w:pPr>
        <w:pStyle w:val="ListParagraph"/>
        <w:numPr>
          <w:ilvl w:val="0"/>
          <w:numId w:val="13"/>
        </w:numPr>
        <w:spacing w:line="240" w:lineRule="auto"/>
      </w:pPr>
      <w:r>
        <w:t xml:space="preserve">Dujmović, L., Lulić, Z., Dujmović, N.: </w:t>
      </w:r>
      <w:r w:rsidRPr="005259E9">
        <w:rPr>
          <w:i/>
        </w:rPr>
        <w:t xml:space="preserve">„Primjena biogoriva u motorima vozila s osvrtom na pogon željezničkih vozila“, </w:t>
      </w:r>
      <w:r>
        <w:t>Suvremeni promet, vol. 28, no. 6, 2008.</w:t>
      </w:r>
    </w:p>
    <w:p w:rsidR="005259E9" w:rsidRDefault="005259E9" w:rsidP="00D57775">
      <w:pPr>
        <w:pStyle w:val="ListParagraph"/>
        <w:numPr>
          <w:ilvl w:val="0"/>
          <w:numId w:val="13"/>
        </w:numPr>
        <w:spacing w:line="240" w:lineRule="auto"/>
      </w:pPr>
      <w:r>
        <w:t>Nujić, G., Rašić, Z., Jakopović, J.: „</w:t>
      </w:r>
      <w:r w:rsidRPr="005259E9">
        <w:rPr>
          <w:i/>
        </w:rPr>
        <w:t>Zaštita okoliša u željezničkom prometu kao dio ukupnih težnji smanjenja polucije zraka</w:t>
      </w:r>
      <w:r>
        <w:t>“, Suvremeni promet, vol. 26, no. 3-4, 2006.</w:t>
      </w:r>
    </w:p>
    <w:p w:rsidR="005259E9" w:rsidRPr="00582FF3" w:rsidRDefault="005259E9" w:rsidP="00D57775">
      <w:pPr>
        <w:pStyle w:val="ListParagraph"/>
        <w:numPr>
          <w:ilvl w:val="0"/>
          <w:numId w:val="13"/>
        </w:numPr>
        <w:spacing w:line="240" w:lineRule="auto"/>
      </w:pPr>
      <w:r>
        <w:t xml:space="preserve">Romštajn, I., Vasilj, A., Stipić, B.: </w:t>
      </w:r>
      <w:r w:rsidRPr="005259E9">
        <w:rPr>
          <w:i/>
        </w:rPr>
        <w:t xml:space="preserve">„Ekološke i druge prednosti željezničkog prijevoza“, </w:t>
      </w:r>
      <w:r>
        <w:t>Suvremeni promet, vol. 26, no. 1 – 2, 2006.</w:t>
      </w:r>
    </w:p>
    <w:p w:rsidR="00582FF3" w:rsidRDefault="00582FF3" w:rsidP="00D57775">
      <w:pPr>
        <w:spacing w:line="240" w:lineRule="auto"/>
      </w:pPr>
    </w:p>
    <w:p w:rsidR="005259E9" w:rsidRDefault="005259E9" w:rsidP="00D57775">
      <w:pPr>
        <w:spacing w:line="240" w:lineRule="auto"/>
        <w:rPr>
          <w:i/>
        </w:rPr>
      </w:pPr>
      <w:r w:rsidRPr="005259E9">
        <w:rPr>
          <w:i/>
        </w:rPr>
        <w:t>Projekti:</w:t>
      </w:r>
    </w:p>
    <w:p w:rsidR="005259E9" w:rsidRDefault="005259E9" w:rsidP="00D57775">
      <w:pPr>
        <w:pStyle w:val="ListParagraph"/>
        <w:numPr>
          <w:ilvl w:val="0"/>
          <w:numId w:val="14"/>
        </w:numPr>
        <w:spacing w:line="240" w:lineRule="auto"/>
      </w:pPr>
      <w:r>
        <w:t xml:space="preserve">Infraguider – projekt EU: </w:t>
      </w:r>
      <w:hyperlink r:id="rId8" w:history="1">
        <w:r w:rsidRPr="00EC3EB6">
          <w:rPr>
            <w:rStyle w:val="Hyperlink"/>
          </w:rPr>
          <w:t>http://www.infraguider.eu</w:t>
        </w:r>
      </w:hyperlink>
      <w:r>
        <w:t xml:space="preserve"> </w:t>
      </w:r>
      <w:r w:rsidR="00B92729">
        <w:t>(08.01.2011.)</w:t>
      </w:r>
    </w:p>
    <w:p w:rsidR="005259E9" w:rsidRDefault="005259E9" w:rsidP="00D57775">
      <w:pPr>
        <w:pStyle w:val="ListParagraph"/>
        <w:numPr>
          <w:ilvl w:val="0"/>
          <w:numId w:val="14"/>
        </w:numPr>
        <w:spacing w:line="240" w:lineRule="auto"/>
      </w:pPr>
      <w:r>
        <w:t>Pistonik, M. i drugi: „</w:t>
      </w:r>
      <w:r w:rsidRPr="005259E9">
        <w:rPr>
          <w:i/>
        </w:rPr>
        <w:t xml:space="preserve">Studija o utjecaju na okoliš rekonstrukcije magistralne željezničke pruge M302 od stacionaže 4+950 do stacionaže 4+050“, </w:t>
      </w:r>
      <w:r>
        <w:t>Sažetak za javni uvid, MZOPU RH, 2009., str. 8 – 12</w:t>
      </w:r>
    </w:p>
    <w:p w:rsidR="005259E9" w:rsidRDefault="005259E9" w:rsidP="00D57775">
      <w:pPr>
        <w:pStyle w:val="ListParagraph"/>
        <w:numPr>
          <w:ilvl w:val="0"/>
          <w:numId w:val="14"/>
        </w:numPr>
        <w:spacing w:line="240" w:lineRule="auto"/>
      </w:pPr>
      <w:r>
        <w:t xml:space="preserve">Railenergy – projekt EU: </w:t>
      </w:r>
      <w:hyperlink r:id="rId9" w:history="1">
        <w:r w:rsidR="00B92729" w:rsidRPr="001F120F">
          <w:rPr>
            <w:rStyle w:val="Hyperlink"/>
          </w:rPr>
          <w:t>http://www.railenergy.org</w:t>
        </w:r>
      </w:hyperlink>
      <w:r w:rsidR="00B92729">
        <w:t xml:space="preserve"> (16.01.2011.)</w:t>
      </w:r>
    </w:p>
    <w:p w:rsidR="005259E9" w:rsidRDefault="005259E9" w:rsidP="00D57775">
      <w:pPr>
        <w:spacing w:line="240" w:lineRule="auto"/>
      </w:pPr>
    </w:p>
    <w:p w:rsidR="005259E9" w:rsidRDefault="005259E9" w:rsidP="00D57775">
      <w:pPr>
        <w:spacing w:line="240" w:lineRule="auto"/>
        <w:rPr>
          <w:i/>
        </w:rPr>
      </w:pPr>
      <w:r>
        <w:rPr>
          <w:i/>
        </w:rPr>
        <w:t>Ostalo:</w:t>
      </w:r>
    </w:p>
    <w:p w:rsidR="005259E9" w:rsidRPr="00B92729" w:rsidRDefault="005259E9" w:rsidP="00D57775">
      <w:pPr>
        <w:pStyle w:val="ListParagraph"/>
        <w:numPr>
          <w:ilvl w:val="0"/>
          <w:numId w:val="15"/>
        </w:numPr>
        <w:spacing w:line="240" w:lineRule="auto"/>
      </w:pPr>
      <w:r>
        <w:t>Sindikat Infrastrukture Hrvatskih željeznica: „</w:t>
      </w:r>
      <w:r w:rsidRPr="005259E9">
        <w:rPr>
          <w:i/>
        </w:rPr>
        <w:t>Ekološke prednosti željeznica“</w:t>
      </w:r>
      <w:r>
        <w:t>, HŽ, Zagreb, 2010.</w:t>
      </w:r>
    </w:p>
    <w:p w:rsidR="005259E9" w:rsidRDefault="005259E9" w:rsidP="00D57775">
      <w:pPr>
        <w:spacing w:line="240" w:lineRule="auto"/>
        <w:rPr>
          <w:i/>
        </w:rPr>
      </w:pPr>
    </w:p>
    <w:p w:rsidR="005259E9" w:rsidRPr="005259E9" w:rsidRDefault="005259E9" w:rsidP="00D57775">
      <w:pPr>
        <w:spacing w:line="240" w:lineRule="auto"/>
        <w:rPr>
          <w:i/>
        </w:rPr>
      </w:pPr>
      <w:r w:rsidRPr="005259E9">
        <w:rPr>
          <w:i/>
        </w:rPr>
        <w:t>Internet stranice:</w:t>
      </w:r>
    </w:p>
    <w:p w:rsidR="005259E9" w:rsidRPr="005259E9" w:rsidRDefault="005259E9" w:rsidP="00D57775">
      <w:pPr>
        <w:pStyle w:val="ListParagraph"/>
        <w:numPr>
          <w:ilvl w:val="0"/>
          <w:numId w:val="16"/>
        </w:numPr>
        <w:spacing w:line="240" w:lineRule="auto"/>
        <w:jc w:val="left"/>
        <w:rPr>
          <w:rFonts w:eastAsia="Calibri" w:cs="Times New Roman"/>
        </w:rPr>
      </w:pPr>
      <w:r w:rsidRPr="005259E9">
        <w:t>Geografija – brzi vlakovi</w:t>
      </w:r>
      <w:r>
        <w:t>, preuzeto sa</w:t>
      </w:r>
      <w:r w:rsidRPr="005259E9">
        <w:t>:</w:t>
      </w:r>
      <w:r w:rsidRPr="005259E9">
        <w:rPr>
          <w:rFonts w:eastAsia="Calibri" w:cs="Times New Roman"/>
        </w:rPr>
        <w:t xml:space="preserve"> </w:t>
      </w:r>
      <w:hyperlink r:id="rId10" w:history="1">
        <w:r w:rsidRPr="005259E9">
          <w:rPr>
            <w:rStyle w:val="Hyperlink"/>
            <w:rFonts w:eastAsia="Calibri" w:cs="Times New Roman"/>
            <w:color w:val="0000FF"/>
            <w:szCs w:val="24"/>
          </w:rPr>
          <w:t>http://geography.about.com/od/urbaneconomicgeography/a/highspeedtrains.htm</w:t>
        </w:r>
      </w:hyperlink>
      <w:r w:rsidRPr="005259E9">
        <w:t xml:space="preserve"> </w:t>
      </w:r>
      <w:r w:rsidR="00B92729">
        <w:t>(19.01.2011.)</w:t>
      </w:r>
    </w:p>
    <w:p w:rsidR="005259E9" w:rsidRPr="005259E9" w:rsidRDefault="005259E9" w:rsidP="00D57775">
      <w:pPr>
        <w:pStyle w:val="ListParagraph"/>
        <w:numPr>
          <w:ilvl w:val="0"/>
          <w:numId w:val="16"/>
        </w:numPr>
        <w:spacing w:line="240" w:lineRule="auto"/>
        <w:jc w:val="left"/>
        <w:rPr>
          <w:rFonts w:eastAsia="Calibri" w:cs="Times New Roman"/>
        </w:rPr>
      </w:pPr>
      <w:r w:rsidRPr="005259E9">
        <w:t>Magle</w:t>
      </w:r>
      <w:r w:rsidR="00B92729">
        <w:t>v</w:t>
      </w:r>
      <w:r w:rsidRPr="005259E9">
        <w:t xml:space="preserve"> vlakovi – prezentacije</w:t>
      </w:r>
      <w:r>
        <w:t>, preuzeto sa</w:t>
      </w:r>
      <w:r w:rsidRPr="005259E9">
        <w:t xml:space="preserve">: </w:t>
      </w:r>
      <w:hyperlink r:id="rId11" w:history="1">
        <w:r w:rsidRPr="005259E9">
          <w:rPr>
            <w:rStyle w:val="Hyperlink"/>
            <w:rFonts w:eastAsia="Calibri" w:cs="Times New Roman"/>
            <w:color w:val="0000FF"/>
            <w:szCs w:val="24"/>
          </w:rPr>
          <w:t>http://eskola.hfd.hr/fiz_sva_stva/maglev/2000_maglev_intro.html</w:t>
        </w:r>
      </w:hyperlink>
      <w:r w:rsidRPr="005259E9">
        <w:t xml:space="preserve"> </w:t>
      </w:r>
      <w:r>
        <w:t xml:space="preserve"> </w:t>
      </w:r>
      <w:r w:rsidR="00B92729">
        <w:t>(19.01.2011.)</w:t>
      </w:r>
    </w:p>
    <w:p w:rsidR="005259E9" w:rsidRPr="005259E9" w:rsidRDefault="005259E9" w:rsidP="00B92729">
      <w:pPr>
        <w:pStyle w:val="ListParagraph"/>
        <w:numPr>
          <w:ilvl w:val="0"/>
          <w:numId w:val="16"/>
        </w:numPr>
        <w:spacing w:line="240" w:lineRule="auto"/>
        <w:jc w:val="left"/>
        <w:rPr>
          <w:rFonts w:eastAsia="Calibri" w:cs="Times New Roman"/>
        </w:rPr>
      </w:pPr>
      <w:r w:rsidRPr="005259E9">
        <w:t>Mepsnet – brzi vlakovi</w:t>
      </w:r>
      <w:r>
        <w:t>, preuzeto sa</w:t>
      </w:r>
      <w:r w:rsidRPr="005259E9">
        <w:t>:</w:t>
      </w:r>
      <w:r w:rsidRPr="005259E9">
        <w:rPr>
          <w:rFonts w:eastAsia="Calibri" w:cs="Times New Roman"/>
        </w:rPr>
        <w:t xml:space="preserve"> </w:t>
      </w:r>
      <w:hyperlink r:id="rId12" w:history="1">
        <w:r w:rsidRPr="005259E9">
          <w:rPr>
            <w:rStyle w:val="Hyperlink"/>
            <w:rFonts w:eastAsia="Calibri" w:cs="Times New Roman"/>
            <w:color w:val="0000FF"/>
            <w:szCs w:val="24"/>
          </w:rPr>
          <w:t>http://www.mepsnet.pondi.hr/vlak_velikih_brzina.htm</w:t>
        </w:r>
      </w:hyperlink>
      <w:r w:rsidRPr="005259E9">
        <w:t xml:space="preserve"> </w:t>
      </w:r>
      <w:r>
        <w:t xml:space="preserve"> </w:t>
      </w:r>
      <w:r w:rsidR="00B92729">
        <w:t>(19.01.2011.)</w:t>
      </w:r>
    </w:p>
    <w:p w:rsidR="00B92729" w:rsidRPr="00B92729" w:rsidRDefault="005259E9" w:rsidP="00D57775">
      <w:pPr>
        <w:pStyle w:val="ListParagraph"/>
        <w:numPr>
          <w:ilvl w:val="0"/>
          <w:numId w:val="16"/>
        </w:numPr>
        <w:spacing w:line="240" w:lineRule="auto"/>
        <w:rPr>
          <w:rFonts w:eastAsia="Calibri" w:cs="Times New Roman"/>
        </w:rPr>
      </w:pPr>
      <w:r w:rsidRPr="005259E9">
        <w:t>Monitor – portal za vijesti</w:t>
      </w:r>
      <w:r>
        <w:t>, preuzeto sa</w:t>
      </w:r>
      <w:r w:rsidRPr="005259E9">
        <w:t xml:space="preserve">: </w:t>
      </w:r>
    </w:p>
    <w:p w:rsidR="005259E9" w:rsidRPr="005259E9" w:rsidRDefault="00CC2DF5" w:rsidP="00B92729">
      <w:pPr>
        <w:pStyle w:val="ListParagraph"/>
        <w:spacing w:line="240" w:lineRule="auto"/>
        <w:rPr>
          <w:rFonts w:eastAsia="Calibri" w:cs="Times New Roman"/>
        </w:rPr>
      </w:pPr>
      <w:hyperlink r:id="rId13" w:history="1">
        <w:r w:rsidR="005259E9" w:rsidRPr="005259E9">
          <w:rPr>
            <w:rStyle w:val="Hyperlink"/>
            <w:rFonts w:eastAsia="Calibri" w:cs="Times New Roman"/>
            <w:color w:val="0000FF"/>
            <w:szCs w:val="24"/>
          </w:rPr>
          <w:t>http://www.monitor.hr/vijesti/njemacka-gradi-maglev-vlak/88153/</w:t>
        </w:r>
      </w:hyperlink>
      <w:r w:rsidR="005259E9" w:rsidRPr="005259E9">
        <w:t xml:space="preserve"> </w:t>
      </w:r>
      <w:r w:rsidR="00B92729">
        <w:t>(19.01.2011.)</w:t>
      </w:r>
    </w:p>
    <w:p w:rsidR="00B92729" w:rsidRPr="00B92729" w:rsidRDefault="005259E9" w:rsidP="00D57775">
      <w:pPr>
        <w:pStyle w:val="ListParagraph"/>
        <w:numPr>
          <w:ilvl w:val="0"/>
          <w:numId w:val="16"/>
        </w:numPr>
        <w:spacing w:line="240" w:lineRule="auto"/>
        <w:rPr>
          <w:rFonts w:eastAsia="Calibri" w:cs="Times New Roman"/>
        </w:rPr>
      </w:pPr>
      <w:r w:rsidRPr="005259E9">
        <w:t>Nacional – novine</w:t>
      </w:r>
      <w:r>
        <w:t>, preuzeto sa</w:t>
      </w:r>
      <w:r w:rsidRPr="005259E9">
        <w:t xml:space="preserve">: </w:t>
      </w:r>
    </w:p>
    <w:p w:rsidR="005259E9" w:rsidRPr="005259E9" w:rsidRDefault="00CC2DF5" w:rsidP="00B92729">
      <w:pPr>
        <w:pStyle w:val="ListParagraph"/>
        <w:spacing w:line="240" w:lineRule="auto"/>
        <w:rPr>
          <w:rFonts w:eastAsia="Calibri" w:cs="Times New Roman"/>
        </w:rPr>
      </w:pPr>
      <w:hyperlink r:id="rId14" w:history="1">
        <w:r w:rsidR="005259E9" w:rsidRPr="005259E9">
          <w:rPr>
            <w:rStyle w:val="Hyperlink"/>
            <w:rFonts w:eastAsia="Calibri" w:cs="Times New Roman"/>
            <w:color w:val="0000FF"/>
            <w:szCs w:val="24"/>
          </w:rPr>
          <w:t>http://www.nacional.hr/clanak/96893/kineski-putnicki-vlak-potukao-brzinski-rekord-vozio-brze-od-486-kmsat</w:t>
        </w:r>
      </w:hyperlink>
      <w:r w:rsidR="005259E9" w:rsidRPr="005259E9">
        <w:t xml:space="preserve"> </w:t>
      </w:r>
      <w:r w:rsidR="00B92729">
        <w:t>(19.01.2011.)</w:t>
      </w:r>
    </w:p>
    <w:p w:rsidR="00B92729" w:rsidRDefault="005259E9" w:rsidP="00B92729">
      <w:pPr>
        <w:pStyle w:val="ListParagraph"/>
        <w:numPr>
          <w:ilvl w:val="0"/>
          <w:numId w:val="16"/>
        </w:numPr>
        <w:spacing w:line="240" w:lineRule="auto"/>
      </w:pPr>
      <w:r>
        <w:t xml:space="preserve">Prometna zona – željeznički promet, preuzeto sa: </w:t>
      </w:r>
    </w:p>
    <w:p w:rsidR="005259E9" w:rsidRDefault="00CC2DF5" w:rsidP="00B92729">
      <w:pPr>
        <w:pStyle w:val="ListParagraph"/>
        <w:spacing w:line="240" w:lineRule="auto"/>
      </w:pPr>
      <w:hyperlink r:id="rId15" w:history="1">
        <w:r w:rsidR="005259E9" w:rsidRPr="008B6563">
          <w:rPr>
            <w:rStyle w:val="Hyperlink"/>
          </w:rPr>
          <w:t>http://www.prometna-zona.com/zeljeznicki.html</w:t>
        </w:r>
      </w:hyperlink>
      <w:r w:rsidR="005259E9">
        <w:t xml:space="preserve"> </w:t>
      </w:r>
      <w:r w:rsidR="00B92729">
        <w:t>(18.12.2010.)</w:t>
      </w:r>
    </w:p>
    <w:p w:rsidR="00381E6D" w:rsidRDefault="00381E6D" w:rsidP="00D57775">
      <w:pPr>
        <w:spacing w:after="200" w:line="240" w:lineRule="auto"/>
        <w:jc w:val="left"/>
      </w:pPr>
      <w:r>
        <w:br w:type="page"/>
      </w:r>
    </w:p>
    <w:p w:rsidR="00507A69" w:rsidRDefault="00507A69" w:rsidP="00D57775">
      <w:pPr>
        <w:pStyle w:val="Heading1"/>
        <w:spacing w:line="240" w:lineRule="auto"/>
      </w:pPr>
      <w:bookmarkStart w:id="36" w:name="_Toc283295174"/>
      <w:bookmarkStart w:id="37" w:name="_Toc283404996"/>
      <w:r>
        <w:lastRenderedPageBreak/>
        <w:t>POPIS TABLICA</w:t>
      </w:r>
      <w:bookmarkEnd w:id="36"/>
      <w:bookmarkEnd w:id="37"/>
    </w:p>
    <w:p w:rsidR="00B859F8" w:rsidRPr="00B859F8" w:rsidRDefault="00B859F8" w:rsidP="00D57775">
      <w:pPr>
        <w:spacing w:line="240" w:lineRule="auto"/>
      </w:pPr>
    </w:p>
    <w:p w:rsidR="00507A69" w:rsidRPr="0095176C" w:rsidRDefault="00507A69" w:rsidP="00D57775">
      <w:pPr>
        <w:pStyle w:val="ListParagraph"/>
        <w:numPr>
          <w:ilvl w:val="0"/>
          <w:numId w:val="17"/>
        </w:numPr>
        <w:spacing w:line="240" w:lineRule="auto"/>
        <w:rPr>
          <w:szCs w:val="24"/>
        </w:rPr>
      </w:pPr>
      <w:r w:rsidRPr="0095176C">
        <w:rPr>
          <w:szCs w:val="24"/>
        </w:rPr>
        <w:t>Tablica 1: Udio emisije štetnih plinova po prometnim granama (%)</w:t>
      </w:r>
      <w:r w:rsidR="0095176C" w:rsidRPr="0095176C">
        <w:rPr>
          <w:szCs w:val="24"/>
        </w:rPr>
        <w:t xml:space="preserve">; </w:t>
      </w:r>
      <w:r w:rsidRPr="0095176C">
        <w:rPr>
          <w:szCs w:val="24"/>
        </w:rPr>
        <w:t xml:space="preserve">Izvor: Mlinarić, I., Missoni, E.: </w:t>
      </w:r>
      <w:r w:rsidRPr="0095176C">
        <w:rPr>
          <w:i/>
          <w:szCs w:val="24"/>
        </w:rPr>
        <w:t xml:space="preserve">„Prometna medicina“, </w:t>
      </w:r>
      <w:r w:rsidRPr="0095176C">
        <w:rPr>
          <w:szCs w:val="24"/>
        </w:rPr>
        <w:t>FPZ, Zagreb, 1994. i ECE 1/97</w:t>
      </w:r>
    </w:p>
    <w:p w:rsidR="00507A69" w:rsidRPr="0095176C" w:rsidRDefault="00507A69" w:rsidP="00D57775">
      <w:pPr>
        <w:pStyle w:val="ListParagraph"/>
        <w:numPr>
          <w:ilvl w:val="0"/>
          <w:numId w:val="17"/>
        </w:numPr>
        <w:spacing w:line="240" w:lineRule="auto"/>
        <w:rPr>
          <w:szCs w:val="24"/>
        </w:rPr>
      </w:pPr>
      <w:r w:rsidRPr="0095176C">
        <w:rPr>
          <w:szCs w:val="24"/>
        </w:rPr>
        <w:t>Tablica 2: Potrošnja energije po prometnim granama</w:t>
      </w:r>
      <w:r w:rsidR="0095176C" w:rsidRPr="0095176C">
        <w:rPr>
          <w:szCs w:val="24"/>
        </w:rPr>
        <w:t xml:space="preserve">; </w:t>
      </w:r>
      <w:r w:rsidRPr="0095176C">
        <w:rPr>
          <w:szCs w:val="24"/>
        </w:rPr>
        <w:t xml:space="preserve">Izvor: Matić, M.: </w:t>
      </w:r>
      <w:r w:rsidRPr="0095176C">
        <w:rPr>
          <w:i/>
          <w:szCs w:val="24"/>
        </w:rPr>
        <w:t xml:space="preserve">„Gospodarenje energijom“, </w:t>
      </w:r>
      <w:r w:rsidRPr="0095176C">
        <w:rPr>
          <w:szCs w:val="24"/>
        </w:rPr>
        <w:t>Školska knjiga, Zagreb, 1995.</w:t>
      </w:r>
    </w:p>
    <w:p w:rsidR="0095176C" w:rsidRPr="0095176C" w:rsidRDefault="0095176C" w:rsidP="00D57775">
      <w:pPr>
        <w:pStyle w:val="ListParagraph"/>
        <w:numPr>
          <w:ilvl w:val="0"/>
          <w:numId w:val="17"/>
        </w:numPr>
        <w:spacing w:line="240" w:lineRule="auto"/>
        <w:rPr>
          <w:szCs w:val="24"/>
        </w:rPr>
      </w:pPr>
      <w:r w:rsidRPr="0095176C">
        <w:rPr>
          <w:szCs w:val="24"/>
        </w:rPr>
        <w:t xml:space="preserve">Tablica 3: Prosječna jakost buke koju stvaraju prometna sredstva; Izvor: Bošnjak, M.: </w:t>
      </w:r>
      <w:r w:rsidRPr="0095176C">
        <w:rPr>
          <w:i/>
          <w:szCs w:val="24"/>
        </w:rPr>
        <w:t>„buka i vibracije na željeznici“</w:t>
      </w:r>
      <w:r w:rsidRPr="0095176C">
        <w:rPr>
          <w:szCs w:val="24"/>
        </w:rPr>
        <w:t>, Suvremeni promet, br. 3-4, 2002.</w:t>
      </w:r>
    </w:p>
    <w:p w:rsidR="0095176C" w:rsidRDefault="0095176C" w:rsidP="00D57775">
      <w:pPr>
        <w:spacing w:line="240" w:lineRule="auto"/>
        <w:rPr>
          <w:sz w:val="20"/>
          <w:szCs w:val="20"/>
        </w:rPr>
      </w:pPr>
    </w:p>
    <w:p w:rsidR="00507A69" w:rsidRPr="00507A69" w:rsidRDefault="00507A69" w:rsidP="00D57775">
      <w:pPr>
        <w:spacing w:line="240" w:lineRule="auto"/>
      </w:pPr>
    </w:p>
    <w:p w:rsidR="005259E9" w:rsidRPr="005259E9" w:rsidRDefault="005259E9" w:rsidP="00D57775">
      <w:pPr>
        <w:spacing w:line="240" w:lineRule="auto"/>
      </w:pPr>
    </w:p>
    <w:p w:rsidR="005259E9" w:rsidRPr="005259E9" w:rsidRDefault="005259E9" w:rsidP="00D57775">
      <w:pPr>
        <w:spacing w:line="240" w:lineRule="auto"/>
      </w:pPr>
    </w:p>
    <w:sectPr w:rsidR="005259E9" w:rsidRPr="005259E9" w:rsidSect="004970A0">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A85" w:rsidRDefault="00180A85" w:rsidP="00AB5A5D">
      <w:pPr>
        <w:spacing w:line="240" w:lineRule="auto"/>
      </w:pPr>
      <w:r>
        <w:separator/>
      </w:r>
    </w:p>
  </w:endnote>
  <w:endnote w:type="continuationSeparator" w:id="0">
    <w:p w:rsidR="00180A85" w:rsidRDefault="00180A85" w:rsidP="00AB5A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TE3766368t00">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59672"/>
      <w:docPartObj>
        <w:docPartGallery w:val="Page Numbers (Bottom of Page)"/>
        <w:docPartUnique/>
      </w:docPartObj>
    </w:sdtPr>
    <w:sdtContent>
      <w:p w:rsidR="004970A0" w:rsidRDefault="00CC2DF5">
        <w:pPr>
          <w:pStyle w:val="Footer"/>
          <w:jc w:val="right"/>
        </w:pPr>
        <w:fldSimple w:instr=" PAGE   \* MERGEFORMAT ">
          <w:r w:rsidR="007830CE">
            <w:rPr>
              <w:noProof/>
            </w:rPr>
            <w:t>2</w:t>
          </w:r>
        </w:fldSimple>
      </w:p>
    </w:sdtContent>
  </w:sdt>
  <w:p w:rsidR="004970A0" w:rsidRDefault="004970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A85" w:rsidRDefault="00180A85" w:rsidP="00AB5A5D">
      <w:pPr>
        <w:spacing w:line="240" w:lineRule="auto"/>
      </w:pPr>
      <w:r>
        <w:separator/>
      </w:r>
    </w:p>
  </w:footnote>
  <w:footnote w:type="continuationSeparator" w:id="0">
    <w:p w:rsidR="00180A85" w:rsidRDefault="00180A85" w:rsidP="00AB5A5D">
      <w:pPr>
        <w:spacing w:line="240" w:lineRule="auto"/>
      </w:pPr>
      <w:r>
        <w:continuationSeparator/>
      </w:r>
    </w:p>
  </w:footnote>
  <w:footnote w:id="1">
    <w:p w:rsidR="00862118" w:rsidRDefault="00862118">
      <w:pPr>
        <w:pStyle w:val="FootnoteText"/>
      </w:pPr>
      <w:r>
        <w:rPr>
          <w:rStyle w:val="FootnoteReference"/>
        </w:rPr>
        <w:footnoteRef/>
      </w:r>
      <w:r>
        <w:t xml:space="preserve"> Prometna zona – željeznički promet, preuzeto sa: </w:t>
      </w:r>
      <w:hyperlink r:id="rId1" w:history="1">
        <w:r w:rsidRPr="008B6563">
          <w:rPr>
            <w:rStyle w:val="Hyperlink"/>
          </w:rPr>
          <w:t>http://www.prometna-zona.com/zeljeznicki.html</w:t>
        </w:r>
      </w:hyperlink>
      <w:r>
        <w:t xml:space="preserve"> (18.12.2010.)</w:t>
      </w:r>
    </w:p>
  </w:footnote>
  <w:footnote w:id="2">
    <w:p w:rsidR="00862118" w:rsidRDefault="00862118">
      <w:pPr>
        <w:pStyle w:val="FootnoteText"/>
      </w:pPr>
      <w:r>
        <w:rPr>
          <w:rStyle w:val="FootnoteReference"/>
        </w:rPr>
        <w:footnoteRef/>
      </w:r>
      <w:r>
        <w:t xml:space="preserve"> Nujić, G., Rašić, Z., Jakopović, J.: „</w:t>
      </w:r>
      <w:r w:rsidRPr="00D40C3A">
        <w:rPr>
          <w:i/>
        </w:rPr>
        <w:t>Zaštita okoliša u željezničkom prometu kao dio ukupnih težnji smanjenja polucije zraka</w:t>
      </w:r>
      <w:r>
        <w:t>“, Suvremeni promet, vol. 26, no. 3-4, 2006., str. 259</w:t>
      </w:r>
    </w:p>
  </w:footnote>
  <w:footnote w:id="3">
    <w:p w:rsidR="00862118" w:rsidRDefault="00862118">
      <w:pPr>
        <w:pStyle w:val="FootnoteText"/>
      </w:pPr>
      <w:r>
        <w:rPr>
          <w:rStyle w:val="FootnoteReference"/>
        </w:rPr>
        <w:footnoteRef/>
      </w:r>
      <w:r>
        <w:t xml:space="preserve"> Prometna zona – željeznički promet, preuzeto sa: </w:t>
      </w:r>
      <w:hyperlink r:id="rId2" w:history="1">
        <w:r w:rsidRPr="008B6563">
          <w:rPr>
            <w:rStyle w:val="Hyperlink"/>
          </w:rPr>
          <w:t>http://www.prometna-zona.com/zeljeznicki.html</w:t>
        </w:r>
      </w:hyperlink>
      <w:r>
        <w:t xml:space="preserve"> (18.12.2010.)</w:t>
      </w:r>
    </w:p>
  </w:footnote>
  <w:footnote w:id="4">
    <w:p w:rsidR="00862118" w:rsidRDefault="00862118">
      <w:pPr>
        <w:pStyle w:val="FootnoteText"/>
      </w:pPr>
      <w:r>
        <w:rPr>
          <w:rStyle w:val="FootnoteReference"/>
        </w:rPr>
        <w:footnoteRef/>
      </w:r>
      <w:r>
        <w:t xml:space="preserve"> Baričević, H.: „</w:t>
      </w:r>
      <w:r w:rsidRPr="00017BA5">
        <w:rPr>
          <w:i/>
        </w:rPr>
        <w:t>Promet u turizmu</w:t>
      </w:r>
      <w:r>
        <w:t>“, Visoka škola za turizam Šibenik, Šibenik, 2003., str. 56</w:t>
      </w:r>
    </w:p>
  </w:footnote>
  <w:footnote w:id="5">
    <w:p w:rsidR="00862118" w:rsidRDefault="00862118">
      <w:pPr>
        <w:pStyle w:val="FootnoteText"/>
      </w:pPr>
      <w:r>
        <w:rPr>
          <w:rStyle w:val="FootnoteReference"/>
        </w:rPr>
        <w:footnoteRef/>
      </w:r>
      <w:r>
        <w:t xml:space="preserve"> Ibidem, str. 55</w:t>
      </w:r>
    </w:p>
  </w:footnote>
  <w:footnote w:id="6">
    <w:p w:rsidR="00862118" w:rsidRPr="00017BA5" w:rsidRDefault="00862118">
      <w:pPr>
        <w:pStyle w:val="FootnoteText"/>
      </w:pPr>
      <w:r>
        <w:rPr>
          <w:rStyle w:val="FootnoteReference"/>
        </w:rPr>
        <w:footnoteRef/>
      </w:r>
      <w:r>
        <w:t xml:space="preserve"> Golubić, J.: „</w:t>
      </w:r>
      <w:r>
        <w:rPr>
          <w:i/>
        </w:rPr>
        <w:t>Promet i okoliš“</w:t>
      </w:r>
      <w:r>
        <w:t>, Fakultet prometnih znanosti, Sveučilište u Zagrebu, Zagreb, 1999., str. 9</w:t>
      </w:r>
    </w:p>
  </w:footnote>
  <w:footnote w:id="7">
    <w:p w:rsidR="00862118" w:rsidRPr="00017BA5" w:rsidRDefault="00862118" w:rsidP="00017BA5">
      <w:pPr>
        <w:pStyle w:val="FootnoteText"/>
      </w:pPr>
      <w:r>
        <w:rPr>
          <w:rStyle w:val="FootnoteReference"/>
        </w:rPr>
        <w:footnoteRef/>
      </w:r>
      <w:r>
        <w:t xml:space="preserve"> Pistonik, M. i drugi: „</w:t>
      </w:r>
      <w:r>
        <w:rPr>
          <w:i/>
        </w:rPr>
        <w:t xml:space="preserve">Studija o utjecaju na okoliš rekonstrukcije magistralne željezničke pruge M302 od stacionaže 4+950 do stacionaže 4+050“, </w:t>
      </w:r>
      <w:r>
        <w:t>Sažetak za javni uvid, MZOPU RH, 2009., str. 8 - 12</w:t>
      </w:r>
    </w:p>
  </w:footnote>
  <w:footnote w:id="8">
    <w:p w:rsidR="00862118" w:rsidRDefault="00862118">
      <w:pPr>
        <w:pStyle w:val="FootnoteText"/>
      </w:pPr>
      <w:r>
        <w:rPr>
          <w:rStyle w:val="FootnoteReference"/>
        </w:rPr>
        <w:footnoteRef/>
      </w:r>
      <w:r>
        <w:t xml:space="preserve"> Ibidem, str. 8 - 12</w:t>
      </w:r>
    </w:p>
  </w:footnote>
  <w:footnote w:id="9">
    <w:p w:rsidR="00862118" w:rsidRDefault="00862118">
      <w:pPr>
        <w:pStyle w:val="FootnoteText"/>
      </w:pPr>
      <w:r>
        <w:rPr>
          <w:rStyle w:val="FootnoteReference"/>
        </w:rPr>
        <w:footnoteRef/>
      </w:r>
      <w:r>
        <w:t xml:space="preserve"> Golubić, J.: „</w:t>
      </w:r>
      <w:r>
        <w:rPr>
          <w:i/>
        </w:rPr>
        <w:t>Promet i okoliš“</w:t>
      </w:r>
      <w:r>
        <w:t>, Fakultet prometnih znanosti, Sveučilište u Zagrebu, Zagreb, 1999., str. 210</w:t>
      </w:r>
    </w:p>
  </w:footnote>
  <w:footnote w:id="10">
    <w:p w:rsidR="00862118" w:rsidRDefault="00862118">
      <w:pPr>
        <w:pStyle w:val="FootnoteText"/>
      </w:pPr>
      <w:r>
        <w:rPr>
          <w:rStyle w:val="FootnoteReference"/>
        </w:rPr>
        <w:footnoteRef/>
      </w:r>
      <w:r>
        <w:t xml:space="preserve"> Ibidem, str. 209</w:t>
      </w:r>
    </w:p>
  </w:footnote>
  <w:footnote w:id="11">
    <w:p w:rsidR="00862118" w:rsidRPr="008B3304" w:rsidRDefault="00862118" w:rsidP="000A1905">
      <w:pPr>
        <w:pStyle w:val="FootnoteText"/>
      </w:pPr>
      <w:r>
        <w:rPr>
          <w:rStyle w:val="FootnoteReference"/>
        </w:rPr>
        <w:footnoteRef/>
      </w:r>
      <w:r>
        <w:t xml:space="preserve"> Romštajn, I., Vasilj, A., Stipić, B.: </w:t>
      </w:r>
      <w:r>
        <w:rPr>
          <w:i/>
        </w:rPr>
        <w:t xml:space="preserve">„Ekološke i druge prednosti željezničkog prijevoza“, </w:t>
      </w:r>
      <w:r>
        <w:t>Suvremeni promet, vol. 26, no. 1 – 2, 2006., str. 139</w:t>
      </w:r>
    </w:p>
  </w:footnote>
  <w:footnote w:id="12">
    <w:p w:rsidR="00862118" w:rsidRDefault="00862118" w:rsidP="000A1905">
      <w:pPr>
        <w:pStyle w:val="FootnoteText"/>
      </w:pPr>
      <w:r>
        <w:rPr>
          <w:rStyle w:val="FootnoteReference"/>
        </w:rPr>
        <w:footnoteRef/>
      </w:r>
      <w:r>
        <w:t xml:space="preserve"> Nujić, G., Rašić, Z., Jakopović, J.: op. cit., str. 256</w:t>
      </w:r>
    </w:p>
  </w:footnote>
  <w:footnote w:id="13">
    <w:p w:rsidR="00862118" w:rsidRDefault="00862118" w:rsidP="00A538DF">
      <w:pPr>
        <w:pStyle w:val="FootnoteText"/>
      </w:pPr>
      <w:r>
        <w:rPr>
          <w:rStyle w:val="FootnoteReference"/>
        </w:rPr>
        <w:footnoteRef/>
      </w:r>
      <w:r>
        <w:t xml:space="preserve"> Romštajn, I., Vasilj, A., Stipić, B.: op. cit., str. 139</w:t>
      </w:r>
    </w:p>
  </w:footnote>
  <w:footnote w:id="14">
    <w:p w:rsidR="00862118" w:rsidRDefault="00862118">
      <w:pPr>
        <w:pStyle w:val="FootnoteText"/>
      </w:pPr>
      <w:r>
        <w:rPr>
          <w:rStyle w:val="FootnoteReference"/>
        </w:rPr>
        <w:footnoteRef/>
      </w:r>
      <w:r>
        <w:t xml:space="preserve"> Ibidem, str. 139</w:t>
      </w:r>
    </w:p>
  </w:footnote>
  <w:footnote w:id="15">
    <w:p w:rsidR="00862118" w:rsidRDefault="00862118">
      <w:pPr>
        <w:pStyle w:val="FootnoteText"/>
      </w:pPr>
      <w:r>
        <w:rPr>
          <w:rStyle w:val="FootnoteReference"/>
        </w:rPr>
        <w:footnoteRef/>
      </w:r>
      <w:r>
        <w:t xml:space="preserve"> Golubić, J.: op. cit., str. 210</w:t>
      </w:r>
    </w:p>
  </w:footnote>
  <w:footnote w:id="16">
    <w:p w:rsidR="00862118" w:rsidRDefault="00862118">
      <w:pPr>
        <w:pStyle w:val="FootnoteText"/>
      </w:pPr>
      <w:r>
        <w:rPr>
          <w:rStyle w:val="FootnoteReference"/>
        </w:rPr>
        <w:footnoteRef/>
      </w:r>
      <w:r>
        <w:t xml:space="preserve"> Romštajn, I., Vasilj, A., Stipić, B.: op. cit., str. 139</w:t>
      </w:r>
    </w:p>
  </w:footnote>
  <w:footnote w:id="17">
    <w:p w:rsidR="00862118" w:rsidRDefault="00862118">
      <w:pPr>
        <w:pStyle w:val="FootnoteText"/>
      </w:pPr>
      <w:r>
        <w:rPr>
          <w:rStyle w:val="FootnoteReference"/>
        </w:rPr>
        <w:footnoteRef/>
      </w:r>
      <w:r>
        <w:t xml:space="preserve"> Golubić, J.: op. cit., str. 224</w:t>
      </w:r>
    </w:p>
  </w:footnote>
  <w:footnote w:id="18">
    <w:p w:rsidR="00862118" w:rsidRDefault="00862118">
      <w:pPr>
        <w:pStyle w:val="FootnoteText"/>
      </w:pPr>
      <w:r>
        <w:rPr>
          <w:rStyle w:val="FootnoteReference"/>
        </w:rPr>
        <w:footnoteRef/>
      </w:r>
      <w:r>
        <w:t xml:space="preserve"> Ibidem, str. 225</w:t>
      </w:r>
    </w:p>
  </w:footnote>
  <w:footnote w:id="19">
    <w:p w:rsidR="00DE26C1" w:rsidRDefault="00DE26C1">
      <w:pPr>
        <w:pStyle w:val="FootnoteText"/>
      </w:pPr>
      <w:r>
        <w:rPr>
          <w:rStyle w:val="FootnoteReference"/>
        </w:rPr>
        <w:footnoteRef/>
      </w:r>
      <w:r>
        <w:t xml:space="preserve"> Ibidem, str. 216</w:t>
      </w:r>
    </w:p>
  </w:footnote>
  <w:footnote w:id="20">
    <w:p w:rsidR="00C748C1" w:rsidRDefault="00C748C1">
      <w:pPr>
        <w:pStyle w:val="FootnoteText"/>
      </w:pPr>
      <w:r>
        <w:rPr>
          <w:rStyle w:val="FootnoteReference"/>
        </w:rPr>
        <w:footnoteRef/>
      </w:r>
      <w:r>
        <w:t xml:space="preserve"> Ibidem, str. 213</w:t>
      </w:r>
    </w:p>
  </w:footnote>
  <w:footnote w:id="21">
    <w:p w:rsidR="00C748C1" w:rsidRPr="00C748C1" w:rsidRDefault="00C748C1">
      <w:pPr>
        <w:pStyle w:val="FootnoteText"/>
      </w:pPr>
      <w:r>
        <w:rPr>
          <w:rStyle w:val="FootnoteReference"/>
        </w:rPr>
        <w:footnoteRef/>
      </w:r>
      <w:r>
        <w:t xml:space="preserve"> Dujmović, L., Lulić, Z., Dujmović, N.: </w:t>
      </w:r>
      <w:r>
        <w:rPr>
          <w:i/>
        </w:rPr>
        <w:t xml:space="preserve">„Primjena biogoriva u motorima vozila s osvrtom na pogon željezničkih vozila“, </w:t>
      </w:r>
      <w:r>
        <w:t>Suvremeni promet, vol. 28, no. 6, 2008., str. 419</w:t>
      </w:r>
    </w:p>
  </w:footnote>
  <w:footnote w:id="22">
    <w:p w:rsidR="00D75E6B" w:rsidRDefault="00D75E6B">
      <w:pPr>
        <w:pStyle w:val="FootnoteText"/>
      </w:pPr>
      <w:r>
        <w:rPr>
          <w:rStyle w:val="FootnoteReference"/>
        </w:rPr>
        <w:footnoteRef/>
      </w:r>
      <w:r>
        <w:t xml:space="preserve"> Golubić, J.: op. cit., str. 213</w:t>
      </w:r>
    </w:p>
  </w:footnote>
  <w:footnote w:id="23">
    <w:p w:rsidR="005C0F75" w:rsidRPr="005C0F75" w:rsidRDefault="005C0F75">
      <w:pPr>
        <w:pStyle w:val="FootnoteText"/>
      </w:pPr>
      <w:r>
        <w:rPr>
          <w:rStyle w:val="FootnoteReference"/>
        </w:rPr>
        <w:footnoteRef/>
      </w:r>
      <w:r>
        <w:t xml:space="preserve"> Dalton, G., Zuber, P.: „</w:t>
      </w:r>
      <w:r>
        <w:rPr>
          <w:i/>
        </w:rPr>
        <w:t xml:space="preserve">Plans for the future development of rail infrastructure“, </w:t>
      </w:r>
      <w:r>
        <w:t>Innovations for Railway Track, UIC, Pariz, 2001., str. 2</w:t>
      </w:r>
    </w:p>
  </w:footnote>
  <w:footnote w:id="24">
    <w:p w:rsidR="00DD3A1B" w:rsidRDefault="00DD3A1B">
      <w:pPr>
        <w:pStyle w:val="FootnoteText"/>
      </w:pPr>
      <w:r>
        <w:rPr>
          <w:rStyle w:val="FootnoteReference"/>
        </w:rPr>
        <w:footnoteRef/>
      </w:r>
      <w:r>
        <w:t xml:space="preserve"> INFRAGUIDER – projekt Europske unije u kojemu su objašnjene, ekološke smjernice za smanjenje negativnog utjecaja željezničke infrastrukture</w:t>
      </w:r>
    </w:p>
  </w:footnote>
  <w:footnote w:id="25">
    <w:p w:rsidR="0067773D" w:rsidRDefault="0067773D">
      <w:pPr>
        <w:pStyle w:val="FootnoteText"/>
      </w:pPr>
      <w:r>
        <w:rPr>
          <w:rStyle w:val="FootnoteReference"/>
        </w:rPr>
        <w:footnoteRef/>
      </w:r>
      <w:r>
        <w:t xml:space="preserve"> Infraguider – projekt EU: </w:t>
      </w:r>
      <w:hyperlink r:id="rId3" w:history="1">
        <w:r w:rsidRPr="00744EC0">
          <w:rPr>
            <w:rStyle w:val="Hyperlink"/>
          </w:rPr>
          <w:t>http://www.infraguider.eu/prodotti_5.html</w:t>
        </w:r>
      </w:hyperlink>
      <w:r>
        <w:t xml:space="preserve"> (08.01.2011.)</w:t>
      </w:r>
    </w:p>
  </w:footnote>
  <w:footnote w:id="26">
    <w:p w:rsidR="0067773D" w:rsidRDefault="0067773D">
      <w:pPr>
        <w:pStyle w:val="FootnoteText"/>
      </w:pPr>
      <w:r>
        <w:rPr>
          <w:rStyle w:val="FootnoteReference"/>
        </w:rPr>
        <w:footnoteRef/>
      </w:r>
      <w:r>
        <w:t xml:space="preserve"> Ibidem, (08.01.2011.)</w:t>
      </w:r>
    </w:p>
  </w:footnote>
  <w:footnote w:id="27">
    <w:p w:rsidR="0070561A" w:rsidRDefault="0070561A">
      <w:pPr>
        <w:pStyle w:val="FootnoteText"/>
      </w:pPr>
      <w:r>
        <w:rPr>
          <w:rStyle w:val="FootnoteReference"/>
        </w:rPr>
        <w:footnoteRef/>
      </w:r>
      <w:r>
        <w:t xml:space="preserve"> Infraguider – projekt EU: </w:t>
      </w:r>
      <w:hyperlink r:id="rId4" w:history="1">
        <w:r w:rsidRPr="00F5523B">
          <w:rPr>
            <w:rStyle w:val="Hyperlink"/>
          </w:rPr>
          <w:t>http://infraguider.eu/doc/INFRAG_WP1_ECO2_DV_4_I.pdf</w:t>
        </w:r>
      </w:hyperlink>
      <w:r>
        <w:t xml:space="preserve">  (08.01.2011.)</w:t>
      </w:r>
    </w:p>
  </w:footnote>
  <w:footnote w:id="28">
    <w:p w:rsidR="003E454A" w:rsidRDefault="003E454A">
      <w:pPr>
        <w:pStyle w:val="FootnoteText"/>
      </w:pPr>
      <w:r>
        <w:rPr>
          <w:rStyle w:val="FootnoteReference"/>
        </w:rPr>
        <w:footnoteRef/>
      </w:r>
      <w:r>
        <w:t xml:space="preserve"> RAILENERGY – projekt Europske unije za inovativna, integrirana učinkovita energetska rješenja za željezničku infrastrukturu i suprastrukturu</w:t>
      </w:r>
    </w:p>
  </w:footnote>
  <w:footnote w:id="29">
    <w:p w:rsidR="00E92FC1" w:rsidRDefault="00E92FC1">
      <w:pPr>
        <w:pStyle w:val="FootnoteText"/>
      </w:pPr>
      <w:r>
        <w:rPr>
          <w:rStyle w:val="FootnoteReference"/>
        </w:rPr>
        <w:footnoteRef/>
      </w:r>
      <w:r>
        <w:t xml:space="preserve"> Railenergy – projekt EU: </w:t>
      </w:r>
      <w:hyperlink r:id="rId5" w:history="1">
        <w:r w:rsidRPr="00A4362A">
          <w:rPr>
            <w:rStyle w:val="Hyperlink"/>
          </w:rPr>
          <w:t>http://www.railenergy.org/targets.shtml</w:t>
        </w:r>
      </w:hyperlink>
      <w:r>
        <w:t xml:space="preserve"> (16.01.2011.)</w:t>
      </w:r>
    </w:p>
  </w:footnote>
  <w:footnote w:id="30">
    <w:p w:rsidR="00495469" w:rsidRDefault="00495469">
      <w:pPr>
        <w:pStyle w:val="FootnoteText"/>
      </w:pPr>
      <w:r>
        <w:rPr>
          <w:rStyle w:val="FootnoteReference"/>
        </w:rPr>
        <w:footnoteRef/>
      </w:r>
      <w:r>
        <w:t xml:space="preserve"> Railenergy – projekt EU: </w:t>
      </w:r>
      <w:hyperlink r:id="rId6" w:history="1">
        <w:r w:rsidRPr="002C4832">
          <w:rPr>
            <w:rStyle w:val="Hyperlink"/>
          </w:rPr>
          <w:t>http://www.vti.se/epibrowser/Webbdokument/Transportforum/TP-f%C3%B6redrag%202009/27%20Energieffektiv%20j%C3%A4rnv%C3%A4g%20%E2%80%93%20Rail%20Enerby.pdf</w:t>
        </w:r>
      </w:hyperlink>
      <w:r w:rsidR="0036558E">
        <w:t xml:space="preserve"> (16.01.2011.)</w:t>
      </w:r>
    </w:p>
  </w:footnote>
  <w:footnote w:id="31">
    <w:p w:rsidR="00657832" w:rsidRDefault="00657832">
      <w:pPr>
        <w:pStyle w:val="FootnoteText"/>
      </w:pPr>
      <w:r>
        <w:rPr>
          <w:rStyle w:val="FootnoteReference"/>
        </w:rPr>
        <w:footnoteRef/>
      </w:r>
      <w:r>
        <w:t xml:space="preserve"> Ibidem, (17.01.2011.)</w:t>
      </w:r>
    </w:p>
  </w:footnote>
  <w:footnote w:id="32">
    <w:p w:rsidR="00AC3804" w:rsidRDefault="00AC3804">
      <w:pPr>
        <w:pStyle w:val="FootnoteText"/>
      </w:pPr>
      <w:r>
        <w:rPr>
          <w:rStyle w:val="FootnoteReference"/>
        </w:rPr>
        <w:footnoteRef/>
      </w:r>
      <w:r>
        <w:t xml:space="preserve"> Dujmović, L., Lulić, Z., Dujmović, N.: op. cit., str. 421</w:t>
      </w:r>
    </w:p>
  </w:footnote>
  <w:footnote w:id="33">
    <w:p w:rsidR="00AC3804" w:rsidRPr="0037358C" w:rsidRDefault="00AC3804">
      <w:pPr>
        <w:pStyle w:val="FootnoteText"/>
      </w:pPr>
      <w:r>
        <w:rPr>
          <w:rStyle w:val="FootnoteReference"/>
        </w:rPr>
        <w:footnoteRef/>
      </w:r>
      <w:r>
        <w:t xml:space="preserve"> </w:t>
      </w:r>
      <w:r w:rsidR="0037358C">
        <w:t>Sindikat Infrastrukture Hrvatskih željeznica: „</w:t>
      </w:r>
      <w:r w:rsidR="0037358C">
        <w:rPr>
          <w:i/>
        </w:rPr>
        <w:t>Ekološke prednosti željeznica“</w:t>
      </w:r>
      <w:r w:rsidR="0037358C">
        <w:t>, HŽ, Zagreb, 2010., str. 21</w:t>
      </w:r>
    </w:p>
  </w:footnote>
  <w:footnote w:id="34">
    <w:p w:rsidR="00D95C9E" w:rsidRDefault="00D95C9E">
      <w:pPr>
        <w:pStyle w:val="FootnoteText"/>
      </w:pPr>
      <w:r>
        <w:rPr>
          <w:rStyle w:val="FootnoteReference"/>
        </w:rPr>
        <w:footnoteRef/>
      </w:r>
      <w:r>
        <w:t xml:space="preserve"> Ibidem, str. 22</w:t>
      </w:r>
    </w:p>
  </w:footnote>
  <w:footnote w:id="35">
    <w:p w:rsidR="00382F10" w:rsidRPr="00A1190B" w:rsidRDefault="00382F10" w:rsidP="00382F10">
      <w:pPr>
        <w:pStyle w:val="FootnoteText"/>
        <w:rPr>
          <w:rFonts w:eastAsia="Calibri" w:cs="Times New Roman"/>
        </w:rPr>
      </w:pPr>
      <w:r>
        <w:rPr>
          <w:rStyle w:val="FootnoteReference"/>
          <w:rFonts w:eastAsia="Calibri" w:cs="Times New Roman"/>
        </w:rPr>
        <w:footnoteRef/>
      </w:r>
      <w:r>
        <w:rPr>
          <w:rFonts w:eastAsia="Calibri" w:cs="Times New Roman"/>
        </w:rPr>
        <w:t xml:space="preserve"> </w:t>
      </w:r>
      <w:r>
        <w:t>Magle</w:t>
      </w:r>
      <w:r w:rsidR="00D57775">
        <w:t>v</w:t>
      </w:r>
      <w:r>
        <w:t xml:space="preserve"> vlakovi – prezentacije: </w:t>
      </w:r>
      <w:hyperlink r:id="rId7" w:history="1">
        <w:r w:rsidRPr="00EC3EB6">
          <w:rPr>
            <w:rStyle w:val="Hyperlink"/>
            <w:rFonts w:eastAsia="Calibri" w:cs="Times New Roman"/>
            <w:color w:val="0000FF"/>
          </w:rPr>
          <w:t>http://eskola.hfd.hr/fiz_sva_stva/maglev/2000_maglev_intro.html</w:t>
        </w:r>
      </w:hyperlink>
      <w:r>
        <w:t xml:space="preserve">  (19.01.2011.)</w:t>
      </w:r>
    </w:p>
  </w:footnote>
  <w:footnote w:id="36">
    <w:p w:rsidR="00382F10" w:rsidRPr="002432B2" w:rsidRDefault="00382F10" w:rsidP="00382F10">
      <w:pPr>
        <w:pStyle w:val="FootnoteText"/>
        <w:rPr>
          <w:rFonts w:eastAsia="Calibri" w:cs="Times New Roman"/>
        </w:rPr>
      </w:pPr>
      <w:r>
        <w:rPr>
          <w:rStyle w:val="FootnoteReference"/>
          <w:rFonts w:eastAsia="Calibri" w:cs="Times New Roman"/>
        </w:rPr>
        <w:footnoteRef/>
      </w:r>
      <w:r>
        <w:t>Geografija – brzi vlakovi:</w:t>
      </w:r>
      <w:r>
        <w:rPr>
          <w:rFonts w:eastAsia="Calibri" w:cs="Times New Roman"/>
        </w:rPr>
        <w:t xml:space="preserve"> </w:t>
      </w:r>
      <w:hyperlink r:id="rId8" w:history="1">
        <w:r w:rsidRPr="00EC3EB6">
          <w:rPr>
            <w:rStyle w:val="Hyperlink"/>
            <w:rFonts w:eastAsia="Calibri" w:cs="Times New Roman"/>
            <w:color w:val="0000FF"/>
          </w:rPr>
          <w:t>http://geography.about.com/od/urbaneconomicgeography/a/highspeedtrains.htm</w:t>
        </w:r>
      </w:hyperlink>
      <w:r>
        <w:t xml:space="preserve"> (19.01.2011.)</w:t>
      </w:r>
    </w:p>
  </w:footnote>
  <w:footnote w:id="37">
    <w:p w:rsidR="00382F10" w:rsidRDefault="00382F10" w:rsidP="00382F10">
      <w:pPr>
        <w:pStyle w:val="FootnoteText"/>
        <w:rPr>
          <w:rFonts w:eastAsia="Calibri" w:cs="Times New Roman"/>
        </w:rPr>
      </w:pPr>
      <w:r>
        <w:rPr>
          <w:rStyle w:val="FootnoteReference"/>
          <w:rFonts w:eastAsia="Calibri" w:cs="Times New Roman"/>
        </w:rPr>
        <w:footnoteRef/>
      </w:r>
      <w:r>
        <w:t xml:space="preserve"> Baričević, H.:</w:t>
      </w:r>
      <w:r>
        <w:rPr>
          <w:rFonts w:eastAsia="Calibri" w:cs="Times New Roman"/>
        </w:rPr>
        <w:t xml:space="preserve"> </w:t>
      </w:r>
      <w:r>
        <w:t>„</w:t>
      </w:r>
      <w:r w:rsidRPr="008E1251">
        <w:rPr>
          <w:rFonts w:eastAsia="Calibri" w:cs="Times New Roman"/>
          <w:i/>
        </w:rPr>
        <w:t>Tehnologija kopnenog prometa</w:t>
      </w:r>
      <w:r>
        <w:rPr>
          <w:i/>
        </w:rPr>
        <w:t>“</w:t>
      </w:r>
      <w:r>
        <w:rPr>
          <w:rFonts w:eastAsia="Calibri" w:cs="Times New Roman"/>
        </w:rPr>
        <w:t xml:space="preserve">, </w:t>
      </w:r>
      <w:r>
        <w:t xml:space="preserve">Pomorski fakultet u Rijeci, </w:t>
      </w:r>
      <w:r>
        <w:rPr>
          <w:rFonts w:eastAsia="Calibri" w:cs="Times New Roman"/>
        </w:rPr>
        <w:t>Rijeka, 2001., str.212</w:t>
      </w:r>
      <w:r>
        <w:t xml:space="preserve"> </w:t>
      </w:r>
    </w:p>
  </w:footnote>
  <w:footnote w:id="38">
    <w:p w:rsidR="00382F10" w:rsidRPr="004A1246" w:rsidRDefault="00382F10" w:rsidP="00382F10">
      <w:pPr>
        <w:pStyle w:val="FootnoteText"/>
        <w:rPr>
          <w:rFonts w:eastAsia="Calibri" w:cs="Times New Roman"/>
        </w:rPr>
      </w:pPr>
      <w:r>
        <w:rPr>
          <w:rStyle w:val="FootnoteReference"/>
          <w:rFonts w:eastAsia="Calibri" w:cs="Times New Roman"/>
        </w:rPr>
        <w:footnoteRef/>
      </w:r>
      <w:r>
        <w:t>Mepsnet – brzi vlakovi:</w:t>
      </w:r>
      <w:r>
        <w:rPr>
          <w:rFonts w:eastAsia="Calibri" w:cs="Times New Roman"/>
        </w:rPr>
        <w:t xml:space="preserve"> </w:t>
      </w:r>
      <w:hyperlink r:id="rId9" w:history="1">
        <w:r w:rsidRPr="00EC3EB6">
          <w:rPr>
            <w:rStyle w:val="Hyperlink"/>
            <w:rFonts w:eastAsia="Calibri" w:cs="Times New Roman"/>
            <w:color w:val="0000FF"/>
          </w:rPr>
          <w:t>http://www.mepsnet.pondi.hr/vlak_velikih_brzina.htm</w:t>
        </w:r>
      </w:hyperlink>
      <w:r>
        <w:t xml:space="preserve">  (19.01.2011.)</w:t>
      </w:r>
    </w:p>
  </w:footnote>
  <w:footnote w:id="39">
    <w:p w:rsidR="00382F10" w:rsidRPr="00BB4287" w:rsidRDefault="00382F10" w:rsidP="00382F10">
      <w:pPr>
        <w:pStyle w:val="FootnoteText"/>
        <w:rPr>
          <w:rFonts w:eastAsia="Calibri" w:cs="Times New Roman"/>
        </w:rPr>
      </w:pPr>
      <w:r>
        <w:rPr>
          <w:rStyle w:val="FootnoteReference"/>
          <w:rFonts w:eastAsia="Calibri" w:cs="Times New Roman"/>
        </w:rPr>
        <w:footnoteRef/>
      </w:r>
      <w:r>
        <w:rPr>
          <w:rFonts w:eastAsia="Calibri" w:cs="Times New Roman"/>
        </w:rPr>
        <w:t xml:space="preserve"> </w:t>
      </w:r>
      <w:r>
        <w:t xml:space="preserve">Nacional – novine: </w:t>
      </w:r>
      <w:hyperlink r:id="rId10" w:history="1">
        <w:r w:rsidRPr="00EC3EB6">
          <w:rPr>
            <w:rStyle w:val="Hyperlink"/>
            <w:rFonts w:eastAsia="Calibri" w:cs="Times New Roman"/>
            <w:color w:val="0000FF"/>
          </w:rPr>
          <w:t>http://www.nacional.hr/clanak/96893/kineski-putnicki-vlak-potukao-brzinski-rekord-vozio-brze-od-486-kmsat</w:t>
        </w:r>
      </w:hyperlink>
      <w:r>
        <w:t xml:space="preserve"> (19.01.2011.)</w:t>
      </w:r>
    </w:p>
  </w:footnote>
  <w:footnote w:id="40">
    <w:p w:rsidR="00382F10" w:rsidRPr="00711469" w:rsidRDefault="00382F10" w:rsidP="00382F10">
      <w:pPr>
        <w:pStyle w:val="FootnoteText"/>
        <w:rPr>
          <w:rFonts w:eastAsia="Calibri" w:cs="Times New Roman"/>
        </w:rPr>
      </w:pPr>
      <w:r>
        <w:rPr>
          <w:rStyle w:val="FootnoteReference"/>
          <w:rFonts w:eastAsia="Calibri" w:cs="Times New Roman"/>
        </w:rPr>
        <w:footnoteRef/>
      </w:r>
      <w:r>
        <w:rPr>
          <w:rFonts w:eastAsia="Calibri" w:cs="Times New Roman"/>
        </w:rPr>
        <w:t xml:space="preserve"> </w:t>
      </w:r>
      <w:r>
        <w:t xml:space="preserve">Monitor – portal za vijesti: </w:t>
      </w:r>
      <w:hyperlink r:id="rId11" w:history="1">
        <w:r w:rsidRPr="00EC3EB6">
          <w:rPr>
            <w:rStyle w:val="Hyperlink"/>
            <w:rFonts w:eastAsia="Calibri" w:cs="Times New Roman"/>
            <w:color w:val="0000FF"/>
          </w:rPr>
          <w:t>http://www.monitor.hr/vijesti/njemacka-gradi-maglev-vlak/88153/</w:t>
        </w:r>
      </w:hyperlink>
      <w:r>
        <w:t xml:space="preserve"> (19.01.2011.)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DA5"/>
    <w:multiLevelType w:val="hybridMultilevel"/>
    <w:tmpl w:val="B4907B0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610558"/>
    <w:multiLevelType w:val="multilevel"/>
    <w:tmpl w:val="0054FF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52070F0"/>
    <w:multiLevelType w:val="multilevel"/>
    <w:tmpl w:val="AF607F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865753F"/>
    <w:multiLevelType w:val="multilevel"/>
    <w:tmpl w:val="0054FF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D8B67D9"/>
    <w:multiLevelType w:val="hybridMultilevel"/>
    <w:tmpl w:val="6C5A4FC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F8E0561"/>
    <w:multiLevelType w:val="multilevel"/>
    <w:tmpl w:val="2AC8B6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4B07DF9"/>
    <w:multiLevelType w:val="multilevel"/>
    <w:tmpl w:val="0054FF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6243101"/>
    <w:multiLevelType w:val="hybridMultilevel"/>
    <w:tmpl w:val="1B9CB6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66750CA"/>
    <w:multiLevelType w:val="hybridMultilevel"/>
    <w:tmpl w:val="2D3010E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38457A3D"/>
    <w:multiLevelType w:val="multilevel"/>
    <w:tmpl w:val="0054FF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CDB53A0"/>
    <w:multiLevelType w:val="multilevel"/>
    <w:tmpl w:val="2AC8B6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16A51BE"/>
    <w:multiLevelType w:val="hybridMultilevel"/>
    <w:tmpl w:val="61EE830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64615A7"/>
    <w:multiLevelType w:val="hybridMultilevel"/>
    <w:tmpl w:val="A8B4A2C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2744479"/>
    <w:multiLevelType w:val="hybridMultilevel"/>
    <w:tmpl w:val="2084E86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3615D91"/>
    <w:multiLevelType w:val="multilevel"/>
    <w:tmpl w:val="0054FF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6561006F"/>
    <w:multiLevelType w:val="hybridMultilevel"/>
    <w:tmpl w:val="B3FA2D4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F723649"/>
    <w:multiLevelType w:val="multilevel"/>
    <w:tmpl w:val="0054FF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9"/>
  </w:num>
  <w:num w:numId="3">
    <w:abstractNumId w:val="2"/>
  </w:num>
  <w:num w:numId="4">
    <w:abstractNumId w:val="0"/>
  </w:num>
  <w:num w:numId="5">
    <w:abstractNumId w:val="13"/>
  </w:num>
  <w:num w:numId="6">
    <w:abstractNumId w:val="4"/>
  </w:num>
  <w:num w:numId="7">
    <w:abstractNumId w:val="12"/>
  </w:num>
  <w:num w:numId="8">
    <w:abstractNumId w:val="8"/>
  </w:num>
  <w:num w:numId="9">
    <w:abstractNumId w:val="15"/>
  </w:num>
  <w:num w:numId="10">
    <w:abstractNumId w:val="11"/>
  </w:num>
  <w:num w:numId="11">
    <w:abstractNumId w:val="1"/>
  </w:num>
  <w:num w:numId="12">
    <w:abstractNumId w:val="14"/>
  </w:num>
  <w:num w:numId="13">
    <w:abstractNumId w:val="16"/>
  </w:num>
  <w:num w:numId="14">
    <w:abstractNumId w:val="6"/>
  </w:num>
  <w:num w:numId="15">
    <w:abstractNumId w:val="3"/>
  </w:num>
  <w:num w:numId="16">
    <w:abstractNumId w:val="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D61F4"/>
    <w:rsid w:val="00017BA5"/>
    <w:rsid w:val="00075D19"/>
    <w:rsid w:val="000A1905"/>
    <w:rsid w:val="000C0F98"/>
    <w:rsid w:val="000E787C"/>
    <w:rsid w:val="001049B6"/>
    <w:rsid w:val="00105CC5"/>
    <w:rsid w:val="0012035F"/>
    <w:rsid w:val="00180A85"/>
    <w:rsid w:val="001A57EC"/>
    <w:rsid w:val="001D61F4"/>
    <w:rsid w:val="002849F0"/>
    <w:rsid w:val="00294333"/>
    <w:rsid w:val="00362563"/>
    <w:rsid w:val="003640D7"/>
    <w:rsid w:val="0036558E"/>
    <w:rsid w:val="0037358C"/>
    <w:rsid w:val="00381E6D"/>
    <w:rsid w:val="00382F10"/>
    <w:rsid w:val="00383369"/>
    <w:rsid w:val="003D057C"/>
    <w:rsid w:val="003E26CE"/>
    <w:rsid w:val="003E454A"/>
    <w:rsid w:val="004172EB"/>
    <w:rsid w:val="00421964"/>
    <w:rsid w:val="00430BB6"/>
    <w:rsid w:val="00466F48"/>
    <w:rsid w:val="00495469"/>
    <w:rsid w:val="004970A0"/>
    <w:rsid w:val="004B35C2"/>
    <w:rsid w:val="004C034B"/>
    <w:rsid w:val="00507A69"/>
    <w:rsid w:val="0051173E"/>
    <w:rsid w:val="005259E9"/>
    <w:rsid w:val="00582FF3"/>
    <w:rsid w:val="005862BA"/>
    <w:rsid w:val="005C0F75"/>
    <w:rsid w:val="00612494"/>
    <w:rsid w:val="0062632C"/>
    <w:rsid w:val="00657832"/>
    <w:rsid w:val="006649F3"/>
    <w:rsid w:val="00670EFA"/>
    <w:rsid w:val="0067773D"/>
    <w:rsid w:val="006A75CC"/>
    <w:rsid w:val="006B228E"/>
    <w:rsid w:val="006C3675"/>
    <w:rsid w:val="006C5AB9"/>
    <w:rsid w:val="006E091C"/>
    <w:rsid w:val="0070561A"/>
    <w:rsid w:val="007179E1"/>
    <w:rsid w:val="00742D90"/>
    <w:rsid w:val="0075023A"/>
    <w:rsid w:val="007830CE"/>
    <w:rsid w:val="007D2364"/>
    <w:rsid w:val="007E4BAD"/>
    <w:rsid w:val="00810206"/>
    <w:rsid w:val="0082650F"/>
    <w:rsid w:val="00850CBA"/>
    <w:rsid w:val="00852AF2"/>
    <w:rsid w:val="00862118"/>
    <w:rsid w:val="00862DEA"/>
    <w:rsid w:val="0087749E"/>
    <w:rsid w:val="008B3304"/>
    <w:rsid w:val="008B7A92"/>
    <w:rsid w:val="008C4A3D"/>
    <w:rsid w:val="008D4B74"/>
    <w:rsid w:val="009117D2"/>
    <w:rsid w:val="009152C5"/>
    <w:rsid w:val="0095176C"/>
    <w:rsid w:val="00960EF1"/>
    <w:rsid w:val="00981BCB"/>
    <w:rsid w:val="00A538DF"/>
    <w:rsid w:val="00A762FB"/>
    <w:rsid w:val="00A9273B"/>
    <w:rsid w:val="00AB5A5D"/>
    <w:rsid w:val="00AC3804"/>
    <w:rsid w:val="00AD4752"/>
    <w:rsid w:val="00B42AD7"/>
    <w:rsid w:val="00B53903"/>
    <w:rsid w:val="00B76507"/>
    <w:rsid w:val="00B773AB"/>
    <w:rsid w:val="00B859F8"/>
    <w:rsid w:val="00B872D3"/>
    <w:rsid w:val="00B92729"/>
    <w:rsid w:val="00B9381D"/>
    <w:rsid w:val="00B96039"/>
    <w:rsid w:val="00BD056F"/>
    <w:rsid w:val="00C01FDF"/>
    <w:rsid w:val="00C4197F"/>
    <w:rsid w:val="00C51718"/>
    <w:rsid w:val="00C51EBE"/>
    <w:rsid w:val="00C748C1"/>
    <w:rsid w:val="00C74D7A"/>
    <w:rsid w:val="00C75837"/>
    <w:rsid w:val="00C913A3"/>
    <w:rsid w:val="00CA5F14"/>
    <w:rsid w:val="00CB45F2"/>
    <w:rsid w:val="00CC2A47"/>
    <w:rsid w:val="00CC2DF5"/>
    <w:rsid w:val="00CC3303"/>
    <w:rsid w:val="00CE21DF"/>
    <w:rsid w:val="00CE3332"/>
    <w:rsid w:val="00CE4633"/>
    <w:rsid w:val="00CE5485"/>
    <w:rsid w:val="00CF0215"/>
    <w:rsid w:val="00D40C3A"/>
    <w:rsid w:val="00D5052F"/>
    <w:rsid w:val="00D57775"/>
    <w:rsid w:val="00D75E6B"/>
    <w:rsid w:val="00D95C9E"/>
    <w:rsid w:val="00DB7EF8"/>
    <w:rsid w:val="00DD3A1B"/>
    <w:rsid w:val="00DE26C1"/>
    <w:rsid w:val="00DE7FF9"/>
    <w:rsid w:val="00E27186"/>
    <w:rsid w:val="00E44247"/>
    <w:rsid w:val="00E638A5"/>
    <w:rsid w:val="00E92FC1"/>
    <w:rsid w:val="00E9669E"/>
    <w:rsid w:val="00EB5B6E"/>
    <w:rsid w:val="00F240F8"/>
    <w:rsid w:val="00F5375F"/>
    <w:rsid w:val="00FA0431"/>
    <w:rsid w:val="00FE4CE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1F4"/>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CB45F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57775"/>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57775"/>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87C"/>
    <w:pPr>
      <w:ind w:left="720"/>
      <w:contextualSpacing/>
    </w:pPr>
  </w:style>
  <w:style w:type="character" w:customStyle="1" w:styleId="Heading1Char">
    <w:name w:val="Heading 1 Char"/>
    <w:basedOn w:val="DefaultParagraphFont"/>
    <w:link w:val="Heading1"/>
    <w:uiPriority w:val="9"/>
    <w:rsid w:val="00CB45F2"/>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D57775"/>
    <w:rPr>
      <w:rFonts w:ascii="Times New Roman" w:eastAsiaTheme="majorEastAsia" w:hAnsi="Times New Roman" w:cstheme="majorBidi"/>
      <w:b/>
      <w:bCs/>
      <w:sz w:val="24"/>
      <w:szCs w:val="26"/>
    </w:rPr>
  </w:style>
  <w:style w:type="paragraph" w:styleId="Subtitle">
    <w:name w:val="Subtitle"/>
    <w:basedOn w:val="Normal"/>
    <w:next w:val="Normal"/>
    <w:link w:val="SubtitleChar"/>
    <w:uiPriority w:val="11"/>
    <w:qFormat/>
    <w:rsid w:val="00CB45F2"/>
    <w:pPr>
      <w:numPr>
        <w:ilvl w:val="1"/>
      </w:numPr>
    </w:pPr>
    <w:rPr>
      <w:rFonts w:eastAsiaTheme="majorEastAsia" w:cstheme="majorBidi"/>
      <w:b/>
      <w:iCs/>
      <w:spacing w:val="15"/>
      <w:szCs w:val="24"/>
    </w:rPr>
  </w:style>
  <w:style w:type="character" w:customStyle="1" w:styleId="SubtitleChar">
    <w:name w:val="Subtitle Char"/>
    <w:basedOn w:val="DefaultParagraphFont"/>
    <w:link w:val="Subtitle"/>
    <w:uiPriority w:val="11"/>
    <w:rsid w:val="00CB45F2"/>
    <w:rPr>
      <w:rFonts w:ascii="Times New Roman" w:eastAsiaTheme="majorEastAsia" w:hAnsi="Times New Roman" w:cstheme="majorBidi"/>
      <w:b/>
      <w:iCs/>
      <w:spacing w:val="15"/>
      <w:sz w:val="24"/>
      <w:szCs w:val="24"/>
    </w:rPr>
  </w:style>
  <w:style w:type="paragraph" w:styleId="FootnoteText">
    <w:name w:val="footnote text"/>
    <w:basedOn w:val="Normal"/>
    <w:link w:val="FootnoteTextChar"/>
    <w:semiHidden/>
    <w:unhideWhenUsed/>
    <w:rsid w:val="00AB5A5D"/>
    <w:pPr>
      <w:spacing w:line="240" w:lineRule="auto"/>
    </w:pPr>
    <w:rPr>
      <w:sz w:val="20"/>
      <w:szCs w:val="20"/>
    </w:rPr>
  </w:style>
  <w:style w:type="character" w:customStyle="1" w:styleId="FootnoteTextChar">
    <w:name w:val="Footnote Text Char"/>
    <w:basedOn w:val="DefaultParagraphFont"/>
    <w:link w:val="FootnoteText"/>
    <w:uiPriority w:val="99"/>
    <w:semiHidden/>
    <w:rsid w:val="00AB5A5D"/>
    <w:rPr>
      <w:rFonts w:ascii="Times New Roman" w:hAnsi="Times New Roman"/>
      <w:sz w:val="20"/>
      <w:szCs w:val="20"/>
    </w:rPr>
  </w:style>
  <w:style w:type="character" w:styleId="FootnoteReference">
    <w:name w:val="footnote reference"/>
    <w:basedOn w:val="DefaultParagraphFont"/>
    <w:semiHidden/>
    <w:unhideWhenUsed/>
    <w:rsid w:val="00AB5A5D"/>
    <w:rPr>
      <w:vertAlign w:val="superscript"/>
    </w:rPr>
  </w:style>
  <w:style w:type="character" w:styleId="Hyperlink">
    <w:name w:val="Hyperlink"/>
    <w:basedOn w:val="DefaultParagraphFont"/>
    <w:uiPriority w:val="99"/>
    <w:unhideWhenUsed/>
    <w:rsid w:val="00AB5A5D"/>
    <w:rPr>
      <w:color w:val="0000FF" w:themeColor="hyperlink"/>
      <w:u w:val="single"/>
    </w:rPr>
  </w:style>
  <w:style w:type="character" w:customStyle="1" w:styleId="Heading3Char">
    <w:name w:val="Heading 3 Char"/>
    <w:basedOn w:val="DefaultParagraphFont"/>
    <w:link w:val="Heading3"/>
    <w:uiPriority w:val="9"/>
    <w:rsid w:val="00D57775"/>
    <w:rPr>
      <w:rFonts w:ascii="Times New Roman" w:eastAsiaTheme="majorEastAsia" w:hAnsi="Times New Roman" w:cstheme="majorBidi"/>
      <w:bCs/>
      <w:i/>
      <w:sz w:val="24"/>
    </w:rPr>
  </w:style>
  <w:style w:type="table" w:styleId="TableGrid">
    <w:name w:val="Table Grid"/>
    <w:basedOn w:val="TableNormal"/>
    <w:uiPriority w:val="59"/>
    <w:rsid w:val="000A1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0A190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0A190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olorfulGrid-Accent1">
    <w:name w:val="Colorful Grid Accent 1"/>
    <w:basedOn w:val="TableNormal"/>
    <w:uiPriority w:val="73"/>
    <w:rsid w:val="000A190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430B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BB6"/>
    <w:rPr>
      <w:rFonts w:ascii="Tahoma" w:hAnsi="Tahoma" w:cs="Tahoma"/>
      <w:sz w:val="16"/>
      <w:szCs w:val="16"/>
    </w:rPr>
  </w:style>
  <w:style w:type="paragraph" w:styleId="Header">
    <w:name w:val="header"/>
    <w:basedOn w:val="Normal"/>
    <w:link w:val="HeaderChar"/>
    <w:uiPriority w:val="99"/>
    <w:semiHidden/>
    <w:unhideWhenUsed/>
    <w:rsid w:val="004970A0"/>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4970A0"/>
    <w:rPr>
      <w:rFonts w:ascii="Times New Roman" w:hAnsi="Times New Roman"/>
      <w:sz w:val="24"/>
    </w:rPr>
  </w:style>
  <w:style w:type="paragraph" w:styleId="Footer">
    <w:name w:val="footer"/>
    <w:basedOn w:val="Normal"/>
    <w:link w:val="FooterChar"/>
    <w:uiPriority w:val="99"/>
    <w:unhideWhenUsed/>
    <w:rsid w:val="004970A0"/>
    <w:pPr>
      <w:tabs>
        <w:tab w:val="center" w:pos="4536"/>
        <w:tab w:val="right" w:pos="9072"/>
      </w:tabs>
      <w:spacing w:line="240" w:lineRule="auto"/>
    </w:pPr>
  </w:style>
  <w:style w:type="character" w:customStyle="1" w:styleId="FooterChar">
    <w:name w:val="Footer Char"/>
    <w:basedOn w:val="DefaultParagraphFont"/>
    <w:link w:val="Footer"/>
    <w:uiPriority w:val="99"/>
    <w:rsid w:val="004970A0"/>
    <w:rPr>
      <w:rFonts w:ascii="Times New Roman" w:hAnsi="Times New Roman"/>
      <w:sz w:val="24"/>
    </w:rPr>
  </w:style>
  <w:style w:type="paragraph" w:styleId="TOCHeading">
    <w:name w:val="TOC Heading"/>
    <w:basedOn w:val="Heading1"/>
    <w:next w:val="Normal"/>
    <w:uiPriority w:val="39"/>
    <w:unhideWhenUsed/>
    <w:qFormat/>
    <w:rsid w:val="004970A0"/>
    <w:pPr>
      <w:spacing w:line="276" w:lineRule="auto"/>
      <w:jc w:val="left"/>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4970A0"/>
    <w:pPr>
      <w:spacing w:after="100"/>
    </w:pPr>
  </w:style>
  <w:style w:type="paragraph" w:styleId="TOC2">
    <w:name w:val="toc 2"/>
    <w:basedOn w:val="Normal"/>
    <w:next w:val="Normal"/>
    <w:autoRedefine/>
    <w:uiPriority w:val="39"/>
    <w:unhideWhenUsed/>
    <w:rsid w:val="004970A0"/>
    <w:pPr>
      <w:spacing w:after="100"/>
      <w:ind w:left="240"/>
    </w:pPr>
  </w:style>
  <w:style w:type="paragraph" w:styleId="TOC3">
    <w:name w:val="toc 3"/>
    <w:basedOn w:val="Normal"/>
    <w:next w:val="Normal"/>
    <w:autoRedefine/>
    <w:uiPriority w:val="39"/>
    <w:unhideWhenUsed/>
    <w:rsid w:val="004970A0"/>
    <w:pPr>
      <w:spacing w:after="100"/>
      <w:ind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raguider.eu" TargetMode="External"/><Relationship Id="rId13" Type="http://schemas.openxmlformats.org/officeDocument/2006/relationships/hyperlink" Target="http://www.monitor.hr/vijesti/njemacka-gradi-maglev-vlak/8815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psnet.pondi.hr/vlak_velikih_brzina.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kola.hfd.hr/fiz_sva_stva/maglev/2000_maglev_intro.html" TargetMode="External"/><Relationship Id="rId5" Type="http://schemas.openxmlformats.org/officeDocument/2006/relationships/webSettings" Target="webSettings.xml"/><Relationship Id="rId15" Type="http://schemas.openxmlformats.org/officeDocument/2006/relationships/hyperlink" Target="http://www.prometna-zona.com/zeljeznicki.html" TargetMode="External"/><Relationship Id="rId10" Type="http://schemas.openxmlformats.org/officeDocument/2006/relationships/hyperlink" Target="http://geography.about.com/od/urbaneconomicgeography/a/highspeedtrains.htm" TargetMode="External"/><Relationship Id="rId4" Type="http://schemas.openxmlformats.org/officeDocument/2006/relationships/settings" Target="settings.xml"/><Relationship Id="rId9" Type="http://schemas.openxmlformats.org/officeDocument/2006/relationships/hyperlink" Target="http://www.railenergy.org" TargetMode="External"/><Relationship Id="rId14" Type="http://schemas.openxmlformats.org/officeDocument/2006/relationships/hyperlink" Target="http://www.nacional.hr/clanak/96893/kineski-putnicki-vlak-potukao-brzinski-rekord-vozio-brze-od-486-kmsa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geography.about.com/od/urbaneconomicgeography/a/highspeedtrains.htm" TargetMode="External"/><Relationship Id="rId3" Type="http://schemas.openxmlformats.org/officeDocument/2006/relationships/hyperlink" Target="http://www.infraguider.eu/prodotti_5.html" TargetMode="External"/><Relationship Id="rId7" Type="http://schemas.openxmlformats.org/officeDocument/2006/relationships/hyperlink" Target="http://eskola.hfd.hr/fiz_sva_stva/maglev/2000_maglev_intro.html" TargetMode="External"/><Relationship Id="rId2" Type="http://schemas.openxmlformats.org/officeDocument/2006/relationships/hyperlink" Target="http://www.prometna-zona.com/zeljeznicki.html" TargetMode="External"/><Relationship Id="rId1" Type="http://schemas.openxmlformats.org/officeDocument/2006/relationships/hyperlink" Target="http://www.prometna-zona.com/zeljeznicki.html" TargetMode="External"/><Relationship Id="rId6" Type="http://schemas.openxmlformats.org/officeDocument/2006/relationships/hyperlink" Target="http://www.vti.se/epibrowser/Webbdokument/Transportforum/TP-f%C3%B6redrag%202009/27%20Energieffektiv%20j%C3%A4rnv%C3%A4g%20%E2%80%93%20Rail%20Enerby.pdf" TargetMode="External"/><Relationship Id="rId11" Type="http://schemas.openxmlformats.org/officeDocument/2006/relationships/hyperlink" Target="http://www.monitor.hr/vijesti/njemacka-gradi-maglev-vlak/88153/" TargetMode="External"/><Relationship Id="rId5" Type="http://schemas.openxmlformats.org/officeDocument/2006/relationships/hyperlink" Target="http://www.railenergy.org/targets.shtml" TargetMode="External"/><Relationship Id="rId10" Type="http://schemas.openxmlformats.org/officeDocument/2006/relationships/hyperlink" Target="http://www.nacional.hr/clanak/96893/kineski-putnicki-vlak-potukao-brzinski-rekord-vozio-brze-od-486-kmsat" TargetMode="External"/><Relationship Id="rId4" Type="http://schemas.openxmlformats.org/officeDocument/2006/relationships/hyperlink" Target="http://infraguider.eu/doc/INFRAG_WP1_ECO2_DV_4_I.pdf" TargetMode="External"/><Relationship Id="rId9" Type="http://schemas.openxmlformats.org/officeDocument/2006/relationships/hyperlink" Target="http://www.mepsnet.pondi.hr/vlak_velikih_brzin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A125BB-6039-417E-84AC-F8DB5367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4025</Words>
  <Characters>22943</Characters>
  <Application>Microsoft Office Word</Application>
  <DocSecurity>0</DocSecurity>
  <Lines>191</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dc:creator>
  <cp:keywords/>
  <dc:description/>
  <cp:lastModifiedBy> </cp:lastModifiedBy>
  <cp:revision>2</cp:revision>
  <cp:lastPrinted>2010-12-06T18:24:00Z</cp:lastPrinted>
  <dcterms:created xsi:type="dcterms:W3CDTF">2011-04-20T14:29:00Z</dcterms:created>
  <dcterms:modified xsi:type="dcterms:W3CDTF">2011-04-20T14:29:00Z</dcterms:modified>
</cp:coreProperties>
</file>