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89" w:rsidRPr="00CA30ED" w:rsidRDefault="00A82CEA" w:rsidP="00715B89">
      <w:pPr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Analysis of </w:t>
      </w: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>translucency</w:t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of </w:t>
      </w: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glass-ceramics </w:t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fabricated by different </w:t>
      </w:r>
      <w:r w:rsidR="00904B1C"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techniques</w:t>
      </w:r>
    </w:p>
    <w:p w:rsidR="00A82CEA" w:rsidRPr="00CA30ED" w:rsidRDefault="00A82CEA" w:rsidP="00A82CEA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Karla Ledi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ć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Igor Majnarić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Slađana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Milardović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Ortolan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Stipe Špalj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Sanja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Štefančić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Ketij Mehulić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,6</w:t>
      </w:r>
      <w:proofErr w:type="gramEnd"/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1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Pol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valent Dental Office, Health Centre Zagreb –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Centar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Zagreb, Croatia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Faculty of Graphic Arts, University of Zagreb, Zagreb, Croatia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School of Dental Medicine, University of Zagreb, Zagreb, Croatia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4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School of Dental Medicine, University of Rije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ka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Rijeka, Croatia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5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Dental Polyclinic Zagreb, Zagreb, Croatia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6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Dental Clinic, </w:t>
      </w:r>
      <w:r w:rsidR="00C958B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University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Hospital Centre Zagreb, Zagreb, Croatia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Summary</w:t>
      </w:r>
    </w:p>
    <w:p w:rsidR="004C7EAD" w:rsidRPr="00CA30ED" w:rsidRDefault="004C7EAD" w:rsidP="004C7EAD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612C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The purpose of the study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was to analys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 translucency of glass-ceramics fabricated by different techniques and investigate the effect of the corrosive medium on the grade of translucency.</w:t>
      </w:r>
    </w:p>
    <w:p w:rsidR="004C7EAD" w:rsidRPr="00CA30ED" w:rsidRDefault="004C7EAD" w:rsidP="004C7EAD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>Materials and methods</w:t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Three specimens of each type of IPS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ceramics (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Ivoclar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Vivadent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Schaan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Liechtenstein) were made in three colours (A2, C2 and B3) by three fabrication techniques (layering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Ceram Dentin; heat-pressing –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Press;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CAD/CAM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CAD). Specimens were made in the form of plates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10 mm x 12 mm x 0.8 mm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)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L*a*b* values were measured by a spectrophotometer (X-Rite DTP 20 Pulse,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Neu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Isenburg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, Germany) before and after exposure to 4% acetic acid at 80 °C for 16 hours (ISO 6872).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Statistical data were analysed using the IBM SPSS 22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software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C7EAD" w:rsidRDefault="004C7EAD" w:rsidP="004C7EAD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Results</w:t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IPS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Ceram Dentin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had significantly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lowest translucency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IPS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Press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the highest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translucency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all colours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(A2, C2, B3),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GB"/>
        </w:rPr>
        <w:t>prior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and after exposure to acid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(p&lt;0.001).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The difference in translucency among colours was evident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IPS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Ceram Dentin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material</w:t>
      </w:r>
      <w:r>
        <w:rPr>
          <w:rFonts w:ascii="Times New Roman" w:hAnsi="Times New Roman" w:cs="Times New Roman"/>
          <w:sz w:val="24"/>
          <w:szCs w:val="24"/>
          <w:lang w:val="en-GB"/>
        </w:rPr>
        <w:t>, both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before and after exposure to acid with a </w:t>
      </w:r>
      <w:r w:rsidRPr="00AF26ED">
        <w:rPr>
          <w:rFonts w:ascii="Times New Roman" w:hAnsi="Times New Roman" w:cs="Times New Roman"/>
          <w:sz w:val="24"/>
          <w:szCs w:val="24"/>
          <w:lang w:val="en-GB"/>
        </w:rPr>
        <w:t>great effect size</w:t>
      </w:r>
      <w:r w:rsidRP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(p&lt;0.001; η2 = 0.702 and 0.741), </w:t>
      </w:r>
      <w:r w:rsidRPr="00AF26ED">
        <w:rPr>
          <w:rFonts w:ascii="Times New Roman" w:hAnsi="Times New Roman" w:cs="Times New Roman"/>
          <w:sz w:val="24"/>
          <w:szCs w:val="24"/>
          <w:lang w:val="en-GB"/>
        </w:rPr>
        <w:t xml:space="preserve">and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IPS </w:t>
      </w:r>
      <w:proofErr w:type="spellStart"/>
      <w:r w:rsidRPr="00AF26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Press material (p&lt;0.001, </w:t>
      </w:r>
      <w:r w:rsidRPr="00AF26ED">
        <w:rPr>
          <w:rFonts w:ascii="Times New Roman" w:hAnsi="Times New Roman" w:cs="Times New Roman"/>
          <w:sz w:val="24"/>
          <w:szCs w:val="24"/>
          <w:lang w:val="en-GB"/>
        </w:rPr>
        <w:t xml:space="preserve">effect size </w:t>
      </w:r>
      <w:r w:rsidRPr="00AF26ED">
        <w:rPr>
          <w:rFonts w:ascii="Times New Roman" w:eastAsia="Times New Roman" w:hAnsi="Times New Roman" w:cs="Times New Roman"/>
          <w:sz w:val="24"/>
          <w:szCs w:val="24"/>
          <w:lang w:val="en-GB"/>
        </w:rPr>
        <w:t>0.547 and 0.576).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CAD/CAD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specimens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showed uniform translucency values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between three colours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Further, </w:t>
      </w:r>
      <w:r w:rsidRPr="00AF26ED">
        <w:rPr>
          <w:rFonts w:ascii="Times New Roman" w:eastAsia="Times New Roman" w:hAnsi="Times New Roman" w:cs="Times New Roman"/>
          <w:sz w:val="24"/>
          <w:szCs w:val="24"/>
          <w:lang w:val="en-GB"/>
        </w:rPr>
        <w:t>exposure to a corrosive medium did not result in a statistically significant change of translucency in any of the materials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tested</w:t>
      </w:r>
      <w:r w:rsidRPr="008E643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C7EAD" w:rsidRPr="00CA30ED" w:rsidRDefault="004C7EAD" w:rsidP="004C7EAD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Different types of glass-ceramics showed significant differences in grades of translucency both with respect to the fabrication technique and colour. Exposure to a corrosive medium did not result in a statistically significant change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translucency. </w:t>
      </w:r>
    </w:p>
    <w:p w:rsidR="004C7EAD" w:rsidRPr="00CA30ED" w:rsidRDefault="004C7EAD" w:rsidP="004C7EAD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Key words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: glass-ceramics, translucency, corrosion, spectrophotometer</w:t>
      </w:r>
    </w:p>
    <w:p w:rsidR="004C7EAD" w:rsidRDefault="004C7EAD" w:rsidP="004C7EAD"/>
    <w:p w:rsidR="00A82CEA" w:rsidRPr="00CA30ED" w:rsidRDefault="00A82CEA" w:rsidP="00A82CEA">
      <w:pPr>
        <w:spacing w:line="48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Introduction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Aesthetics has become a primary criterion </w:t>
      </w:r>
      <w:r w:rsidR="009F3F74" w:rsidRPr="00CA30E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successful fixed prosthodontics treatment, especially regarding restoration of the front teeth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aim of aesthetic dentistry is to create a restoration </w:t>
      </w:r>
      <w:r w:rsidR="009F3F74" w:rsidRPr="00CA30ED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does not differ </w:t>
      </w:r>
      <w:r w:rsidR="00F30472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in colour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from natural teeth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(1, 2).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Therefore</w:t>
      </w:r>
      <w:r w:rsidR="00F3047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optical properties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restorative materials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are of exceptional importance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9F3F74" w:rsidRPr="00CA30ED">
        <w:rPr>
          <w:rFonts w:ascii="Times New Roman" w:hAnsi="Times New Roman" w:cs="Times New Roman"/>
          <w:sz w:val="24"/>
          <w:szCs w:val="24"/>
          <w:lang w:val="en-GB"/>
        </w:rPr>
        <w:t>In dental prosthodontics, c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eramic materials</w:t>
      </w:r>
      <w:r w:rsidR="009F3F74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are considered </w:t>
      </w:r>
      <w:r w:rsidR="00F3047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superior materials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133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composites </w:t>
      </w:r>
      <w:r w:rsidR="009F3F74" w:rsidRPr="00CA30ED">
        <w:rPr>
          <w:rFonts w:ascii="Times New Roman" w:hAnsi="Times New Roman" w:cs="Times New Roman"/>
          <w:sz w:val="24"/>
          <w:szCs w:val="24"/>
          <w:lang w:val="en-GB"/>
        </w:rPr>
        <w:t>from the aesthetical point of view because of their excellent optical properties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(3).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The colour and appearance of teeth is a complex phenomenon which includes a number of factors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(4-6). </w:t>
      </w:r>
      <w:r w:rsidR="00F3047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Natural teeth are not of a uniform structure and are characterised by different colour and 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grades of </w:t>
      </w:r>
      <w:r w:rsidR="00F3047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translucency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cervical to the </w:t>
      </w:r>
      <w:proofErr w:type="spellStart"/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incisal</w:t>
      </w:r>
      <w:proofErr w:type="spellEnd"/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 Translucenc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is the relative amount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passage of light through an object or diffuse reflexion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from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its surface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(1).</w:t>
      </w:r>
      <w:r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restorative material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gives natural appearance and vitality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the restoration.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Therefore, in order to achieve optimum a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est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hetic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sults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 addition to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mimicking the colour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natural teeth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is equally important to mimic </w:t>
      </w:r>
      <w:r w:rsidR="009F3F74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their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(2).</w:t>
      </w:r>
      <w:r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dental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depends on the interaction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570525"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ceramic material and </w:t>
      </w:r>
      <w:r w:rsidR="00570525"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>incident light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>Mixed white light on the surfaces of a ceramic crown conducts itself in accordance with the physical laws of reflection and refraction because of different optical densities of these two media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>Thus, a part of the light is reflected and a part is refracted and passes through the other medium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If a smaller amount of light is reflected, and a greater part passes through (is refracted), 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restoration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 will be transparent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The amount of light that is absorbed, reflected or transmitted depends on the relations between incident </w:t>
      </w:r>
      <w:r w:rsidR="00570525"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light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wave lengths and the size and </w:t>
      </w:r>
      <w:r w:rsidR="00570525"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Style w:val="citation"/>
          <w:rFonts w:ascii="Times New Roman" w:hAnsi="Times New Roman" w:cs="Times New Roman"/>
          <w:sz w:val="24"/>
          <w:szCs w:val="24"/>
          <w:lang w:val="en-GB"/>
        </w:rPr>
        <w:t>number of particles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(7-10).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Glass-ceramics is a material that mimics dental tissue to an excellent extent, and has the best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optical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properties among </w:t>
      </w:r>
      <w:r w:rsidR="00570525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prosthetic materials</w:t>
      </w:r>
      <w:r w:rsidR="008E643E">
        <w:rPr>
          <w:rFonts w:ascii="Times New Roman" w:hAnsi="Times New Roman" w:cs="Times New Roman"/>
          <w:sz w:val="24"/>
          <w:szCs w:val="24"/>
          <w:lang w:val="en-GB"/>
        </w:rPr>
        <w:t xml:space="preserve"> (9, 10)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advantage of glass-ceramic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over other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restorative materials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570525" w:rsidRPr="00CA30ED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translucency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which allows the passage of light in the same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way </w:t>
      </w:r>
      <w:r w:rsidR="00DF7401">
        <w:rPr>
          <w:rFonts w:ascii="Times New Roman" w:hAnsi="Times New Roman" w:cs="Times New Roman"/>
          <w:sz w:val="24"/>
          <w:szCs w:val="24"/>
          <w:lang w:val="en-GB"/>
        </w:rPr>
        <w:t xml:space="preserve">as in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natural teeth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It was created by developing silicate ceramics by proce</w:t>
      </w:r>
      <w:r w:rsidR="00570525" w:rsidRPr="00CA30ED">
        <w:rPr>
          <w:rFonts w:ascii="Times New Roman" w:hAnsi="Times New Roman" w:cs="Times New Roman"/>
          <w:sz w:val="24"/>
          <w:szCs w:val="24"/>
          <w:lang w:val="en-GB"/>
        </w:rPr>
        <w:t>dures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of controlled glass crystallisation. It is characterised by great mechanical resistance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hardness and stability 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</w:t>
      </w:r>
      <w:r w:rsidR="00DF7401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temperature changes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</w:t>
      </w:r>
      <w:r w:rsidR="008E643E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8E643E">
        <w:rPr>
          <w:rFonts w:ascii="Times New Roman" w:eastAsia="Times New Roman" w:hAnsi="Times New Roman" w:cs="Times New Roman"/>
          <w:sz w:val="24"/>
          <w:szCs w:val="24"/>
          <w:lang w:val="en-GB"/>
        </w:rPr>
        <w:t>fabrication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glass-ceramic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E643E">
        <w:rPr>
          <w:rFonts w:ascii="Times New Roman" w:eastAsia="Times New Roman" w:hAnsi="Times New Roman" w:cs="Times New Roman"/>
          <w:sz w:val="24"/>
          <w:szCs w:val="24"/>
          <w:lang w:val="en-GB"/>
        </w:rPr>
        <w:t>restorations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is based on the fabrication of the entire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restoration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from the same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fabrication of the</w:t>
      </w:r>
      <w:r w:rsidR="00F50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50726">
        <w:rPr>
          <w:rFonts w:ascii="Times New Roman" w:eastAsia="Times New Roman" w:hAnsi="Times New Roman" w:cs="Times New Roman"/>
          <w:sz w:val="24"/>
          <w:szCs w:val="24"/>
          <w:lang w:val="en-GB"/>
        </w:rPr>
        <w:t>core</w:t>
      </w:r>
      <w:r w:rsidR="004F4A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0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proofErr w:type="gramEnd"/>
      <w:r w:rsidR="00F50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layers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veneering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F0748E" w:rsidRPr="004F4A73">
        <w:rPr>
          <w:rFonts w:ascii="Times New Roman" w:eastAsia="Times New Roman" w:hAnsi="Times New Roman" w:cs="Times New Roman"/>
          <w:sz w:val="24"/>
          <w:szCs w:val="24"/>
          <w:lang w:val="en-GB"/>
        </w:rPr>
        <w:t>Core</w:t>
      </w:r>
      <w:r w:rsidR="00242D3C" w:rsidRPr="004F4A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more or less translucent</w:t>
      </w:r>
      <w:r w:rsidRPr="004F4A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2D2D10" w:rsidRPr="004F4A73">
        <w:rPr>
          <w:rStyle w:val="citation"/>
          <w:rFonts w:ascii="Times New Roman" w:hAnsi="Times New Roman"/>
          <w:sz w:val="24"/>
          <w:szCs w:val="24"/>
          <w:lang w:val="en-GB"/>
        </w:rPr>
        <w:t>but do not have much similarity with natural teeth</w:t>
      </w:r>
      <w:r w:rsidRPr="004F4A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(12).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Glass-ceramic restorations can be fabricated in a dental laboratory </w:t>
      </w:r>
      <w:r w:rsidR="00570525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using three </w:t>
      </w:r>
      <w:r w:rsidR="00570525" w:rsidRPr="00CA30ED">
        <w:rPr>
          <w:rFonts w:ascii="Times New Roman" w:hAnsi="Times New Roman" w:cs="Times New Roman"/>
          <w:sz w:val="24"/>
          <w:szCs w:val="24"/>
          <w:lang w:val="en-GB"/>
        </w:rPr>
        <w:t>fundamental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techniques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layering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heat-pressing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2D2D10" w:rsidRPr="00CA30ED">
        <w:rPr>
          <w:rFonts w:ascii="Times New Roman" w:hAnsi="Times New Roman"/>
          <w:sz w:val="24"/>
          <w:szCs w:val="24"/>
          <w:lang w:val="en-GB"/>
        </w:rPr>
        <w:t>computer-aided design and computer-aided manufacturing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(CAD/CAM) (13). </w:t>
      </w:r>
      <w:r w:rsidR="002D2D10" w:rsidRPr="00CA30ED">
        <w:rPr>
          <w:rFonts w:ascii="Times New Roman" w:hAnsi="Times New Roman"/>
          <w:sz w:val="24"/>
          <w:szCs w:val="24"/>
          <w:lang w:val="en-GB"/>
        </w:rPr>
        <w:t>The quality of a ceramic material depends on its components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;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type and amount of glass matrix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and the type, amount, size and distribution of grain</w:t>
      </w:r>
      <w:r w:rsidR="00DF740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, te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hni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ques of fabrication and treatment of the restoration, </w:t>
      </w:r>
      <w:r w:rsidR="0057052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and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cycles and temperature of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firing and cooling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(6, 14). </w:t>
      </w:r>
      <w:r w:rsidR="002D2D10" w:rsidRPr="00CA30ED">
        <w:rPr>
          <w:rFonts w:ascii="Times New Roman" w:hAnsi="Times New Roman"/>
          <w:sz w:val="24"/>
          <w:szCs w:val="24"/>
          <w:lang w:val="en-GB"/>
        </w:rPr>
        <w:t>Since properties of any material are in the function of its structure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2D2D10" w:rsidRPr="00CA30ED">
        <w:rPr>
          <w:rFonts w:ascii="Times New Roman" w:hAnsi="Times New Roman"/>
          <w:sz w:val="24"/>
          <w:szCs w:val="24"/>
          <w:lang w:val="en-GB"/>
        </w:rPr>
        <w:t xml:space="preserve">errors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occurring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during the fabrication or treatment of the restoration in the dental laboratory will make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hAnsi="Times New Roman"/>
          <w:sz w:val="24"/>
          <w:szCs w:val="24"/>
          <w:lang w:val="en-GB"/>
        </w:rPr>
        <w:t>the microstructure of ceramics irregular and will result in unwanted effects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(15).</w:t>
      </w:r>
      <w:r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A82CEA" w:rsidRPr="00CA30ED" w:rsidRDefault="00570525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Apart from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the properties of the restorative material itself, the environment, i.e. the oral cavity,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also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affects the stability of the restoration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 this context it should be stressed that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restorative materials and restorations should possess long-term stable optical properties in the oral cavity.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Continuous exposure to an aqueous medium, pH changes due to the intake of various beverages and food</w:t>
      </w:r>
      <w:r w:rsidR="00D75472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changes elicited by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agents for cleaning 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of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the oral cavity 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combined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with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dynamic loads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cause </w:t>
      </w:r>
      <w:proofErr w:type="spell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tribocorrosion</w:t>
      </w:r>
      <w:proofErr w:type="spell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changes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the surface of the restoration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Corrosion in the mouth, besides being a form of electrochemical corrosion and galvanism, also represents corrosion caused by acid products of microorganisms. The greater the share of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the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glass matrix, the greater the effect of corrosion processes and the deterioration of the restoration 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has been reported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(16, 17).</w:t>
      </w:r>
    </w:p>
    <w:p w:rsidR="00A82CEA" w:rsidRPr="00CA30ED" w:rsidRDefault="00DF7401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Contemporary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dental materials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are subject to control and biocompatibility testing in accordance with European and American standards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However, all controls do not absolutely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guarantee the stability of the material in the mouth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Ceramics is considered to be a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material resistant to corrosion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i.e.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biologically inert material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however,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no material is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completely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inert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(18, 19).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The purpose of this study was, with the aid of a spectrophotometer, to quantitatively measure and compare optical properties of translucency on three types of glass-ceramic specimens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in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three different colours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fabricated by three </w:t>
      </w:r>
      <w:r w:rsidR="00DF24B3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different </w:t>
      </w:r>
      <w:r w:rsidR="002D2D10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techniques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before and after exposure to a corrosive </w:t>
      </w:r>
      <w:r w:rsidR="00DF24B3" w:rsidRPr="00CA30ED">
        <w:rPr>
          <w:rFonts w:ascii="Times New Roman" w:hAnsi="Times New Roman" w:cs="Times New Roman"/>
          <w:sz w:val="24"/>
          <w:szCs w:val="24"/>
          <w:lang w:val="en-GB"/>
        </w:rPr>
        <w:t>medium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, 4 % acetic acid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(ISO 6872).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 following research hypothes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 were tested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1. Translucenc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 of glass-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depends on the fabrication technique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Translucency of glass-ceramics fabricated by the same technique depends on the colour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Corrosion has an effect </w:t>
      </w:r>
      <w:r w:rsidR="00DF24B3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change </w:t>
      </w:r>
      <w:r w:rsidR="00DF7401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="00DF7401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line="48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A82CEA" w:rsidP="00A82CEA">
      <w:pPr>
        <w:spacing w:line="48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Materials and procedures</w:t>
      </w:r>
    </w:p>
    <w:p w:rsidR="00A82CEA" w:rsidRPr="00CA30ED" w:rsidRDefault="00A82CEA" w:rsidP="00A82CEA">
      <w:pPr>
        <w:tabs>
          <w:tab w:val="left" w:pos="851"/>
          <w:tab w:val="left" w:pos="8505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Nine specimens of IPS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Ivoclar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Vivadent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Schaan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Liechtenstein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040BB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were made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 the form of plates with dimensions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 mm x 12 mm x 0</w:t>
      </w:r>
      <w:r w:rsidR="00040BB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8 mm ± 0</w:t>
      </w:r>
      <w:r w:rsidR="00040BB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05 mm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three colours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(A2, C2, B3).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tested glass-ceramics </w:t>
      </w:r>
      <w:r w:rsidR="00950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specimens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presented in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Tabl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 1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grade of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IPS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Press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IPS e.max CAD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16D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was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HT (high translucency).</w:t>
      </w:r>
    </w:p>
    <w:p w:rsidR="00A82CEA" w:rsidRPr="00CA30ED" w:rsidRDefault="006116D2" w:rsidP="006116D2">
      <w:pPr>
        <w:spacing w:after="0" w:line="480" w:lineRule="auto"/>
        <w:ind w:left="0" w:right="520"/>
        <w:jc w:val="both"/>
        <w:rPr>
          <w:rFonts w:ascii="Times New Roman" w:eastAsia="Times New Roman" w:hAnsi="Times New Roman" w:cs="Times New Roman"/>
          <w:color w:val="010158"/>
          <w:sz w:val="24"/>
          <w:szCs w:val="24"/>
          <w:lang w:val="en-GB" w:eastAsia="hr-HR"/>
        </w:rPr>
      </w:pP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All specimens were prepared by the same dental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te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c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hni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cian by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standard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procedures in accordance with the manufacturer’s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Pr="00CA30ED">
        <w:rPr>
          <w:rFonts w:ascii="Times New Roman" w:eastAsia="Times New Roman" w:hAnsi="Times New Roman"/>
          <w:sz w:val="24"/>
          <w:szCs w:val="24"/>
          <w:lang w:val="en-GB" w:eastAsia="hr-HR"/>
        </w:rPr>
        <w:t>directions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. IPS e.max Press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specimens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were made </w:t>
      </w:r>
      <w:r w:rsidR="00D75472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by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using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21316E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wax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model</w:t>
      </w:r>
      <w:r w:rsidR="0021316E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s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,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which were, after firing,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pressed in moulds by the technique of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heat-pressing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of 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ingot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s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. IPS e.max Ceram Dentin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specimens were made by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powder condensation technique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,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by manual mixing of </w:t>
      </w:r>
      <w:r w:rsidR="00040BB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the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ceramic powder with distilled water and firing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(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Programat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EP 5000, 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Ivoclar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Vivadent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, 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Schaan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,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Liechtenstein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). IPS e.max CAD </w:t>
      </w:r>
      <w:r w:rsidR="006F3BE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specimens were made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6C24D6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from factory-made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blo</w:t>
      </w:r>
      <w:r w:rsidR="006C24D6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c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k</w:t>
      </w:r>
      <w:r w:rsidR="006C24D6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s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6C24D6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with the use of a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r w:rsidR="006C24D6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milling machine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(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Amann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Girrbach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Cer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amill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 xml:space="preserve"> Motion 2,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Koblach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, Austri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hr-HR"/>
        </w:rPr>
        <w:t>a).</w:t>
      </w:r>
    </w:p>
    <w:p w:rsidR="00A82CEA" w:rsidRPr="00CA30ED" w:rsidRDefault="00A82CEA" w:rsidP="00A82CEA">
      <w:pPr>
        <w:tabs>
          <w:tab w:val="left" w:pos="1418"/>
          <w:tab w:val="left" w:pos="8505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lastRenderedPageBreak/>
        <w:t>After preparation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6C24D6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un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laz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specimens were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polished to obtain a smooth </w:t>
      </w:r>
      <w:r w:rsidR="00040BB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 surface </w:t>
      </w:r>
      <w:r w:rsidR="006C24D6" w:rsidRPr="00CA30ED">
        <w:rPr>
          <w:rFonts w:ascii="Times New Roman" w:hAnsi="Times New Roman"/>
          <w:sz w:val="24"/>
          <w:szCs w:val="24"/>
          <w:lang w:val="en-GB"/>
        </w:rPr>
        <w:t xml:space="preserve">by using polishers, rubbers and silicon </w:t>
      </w:r>
      <w:proofErr w:type="spellStart"/>
      <w:r w:rsidR="006C24D6" w:rsidRPr="00CA30ED">
        <w:rPr>
          <w:rFonts w:ascii="Times New Roman" w:hAnsi="Times New Roman"/>
          <w:sz w:val="24"/>
          <w:szCs w:val="24"/>
          <w:lang w:val="en-GB"/>
        </w:rPr>
        <w:t>carbamide</w:t>
      </w:r>
      <w:proofErr w:type="spellEnd"/>
      <w:r w:rsidR="006C24D6" w:rsidRPr="00CA30ED">
        <w:rPr>
          <w:rFonts w:ascii="Times New Roman" w:hAnsi="Times New Roman"/>
          <w:sz w:val="24"/>
          <w:szCs w:val="24"/>
          <w:lang w:val="en-GB"/>
        </w:rPr>
        <w:t xml:space="preserve"> discs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Komet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Dental,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Gebr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Brasseler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GmbH &amp; Co. KG,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Lemgo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Germany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and were </w:t>
      </w:r>
      <w:r w:rsidR="006C24D6" w:rsidRPr="00CA30ED">
        <w:rPr>
          <w:rFonts w:ascii="Times New Roman" w:hAnsi="Times New Roman"/>
          <w:sz w:val="24"/>
          <w:szCs w:val="24"/>
          <w:lang w:val="en-GB"/>
        </w:rPr>
        <w:t xml:space="preserve">ultrasonically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washed and cleaned </w:t>
      </w:r>
      <w:r w:rsidR="006C24D6" w:rsidRPr="00CA30ED">
        <w:rPr>
          <w:rFonts w:ascii="Times New Roman" w:hAnsi="Times New Roman"/>
          <w:sz w:val="24"/>
          <w:szCs w:val="24"/>
          <w:lang w:val="en-GB"/>
        </w:rPr>
        <w:t>in distilled water for 15 minutes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(ISO 3696). </w:t>
      </w:r>
    </w:p>
    <w:p w:rsidR="00A82CEA" w:rsidRPr="00CA30ED" w:rsidRDefault="006C24D6" w:rsidP="00A82CEA">
      <w:pPr>
        <w:spacing w:after="24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the first part of the study, measurements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L*a*b*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values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glass-ceramic specimens in three colours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(A2, C2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B3),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fabricated by three </w:t>
      </w:r>
      <w:r w:rsidR="008F4857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different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fabrication techniques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determined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Measurements were conducted instrumentally by using a calibrated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spectrophoto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met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olorimet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X-Rite DTP 20 Pulse (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45°/0°measuring geometry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2°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standard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observer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illuminant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D65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).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numerical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value of translucency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is based on the 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CIE L*a*b*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three-dimensional system and </w:t>
      </w:r>
      <w:r w:rsidR="008F4857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represents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the difference in colour of a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specific specimen measured on achromatic backgrounds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Consequently, two series of measurements were conducted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measurement of specimens against 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standard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white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background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and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measurement of the same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specimens against standard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black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background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).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Ten measurements o</w:t>
      </w:r>
      <w:r w:rsidR="008F4857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each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nine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different plates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were made against each background, changing the position of the measuring instrument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spectrophoto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met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five different places first on one and then on the other side of the </w:t>
      </w:r>
      <w:r w:rsidR="00786B7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surface of the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specimen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Measurements were monitored by </w:t>
      </w:r>
      <w:proofErr w:type="spellStart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ColorShop</w:t>
      </w:r>
      <w:proofErr w:type="spell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X 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software integrated into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786B7D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X-Rit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spectrophoto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met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er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).</w:t>
      </w:r>
      <w:r w:rsidR="00A82CEA"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After measuring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L*a*b*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values, the numerical value of translucency was calculated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accordance with the </w:t>
      </w:r>
      <w:r w:rsidR="00786B7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following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equation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A82CEA" w:rsidRPr="00CA30ED" w:rsidRDefault="00A82CEA" w:rsidP="00A82CEA">
      <w:pPr>
        <w:spacing w:after="24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TP= [(L*w-L*b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(a*w-a*b)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+ (b*w-b*b)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1/2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82CEA" w:rsidRPr="00CA30ED" w:rsidRDefault="00786B7D" w:rsidP="00A82CEA">
      <w:pPr>
        <w:spacing w:after="24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the material is absolutely turbid (opaque), the translucency value is </w:t>
      </w:r>
      <w:r w:rsidR="00237505" w:rsidRPr="00CA30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bout zero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Consequently, the higher the value of translucency the greater the translucency grade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(21).</w:t>
      </w:r>
    </w:p>
    <w:p w:rsidR="00A82CEA" w:rsidRPr="00CA30ED" w:rsidRDefault="00237505" w:rsidP="00A82CEA">
      <w:pPr>
        <w:tabs>
          <w:tab w:val="left" w:pos="8505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All specimens were then exposed to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% acidic acid at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80 °C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hours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(ISO 6872).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Following exposure to the corrosive medium, measurements of the translucency were repeated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as described in the first part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A82CEA" w:rsidRPr="00CA30ED" w:rsidRDefault="00A82CEA" w:rsidP="00A82CEA">
      <w:pPr>
        <w:tabs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CEA" w:rsidRPr="00CA30ED" w:rsidRDefault="00A82CEA" w:rsidP="00A82CEA">
      <w:pPr>
        <w:tabs>
          <w:tab w:val="left" w:pos="8505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Statistical analysis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normality of the distribution was </w:t>
      </w:r>
      <w:r w:rsidR="00E74762" w:rsidRPr="00CA30ED">
        <w:rPr>
          <w:rFonts w:ascii="Times New Roman" w:hAnsi="Times New Roman" w:cs="Times New Roman"/>
          <w:sz w:val="24"/>
          <w:szCs w:val="24"/>
          <w:lang w:val="en-GB"/>
        </w:rPr>
        <w:t>verified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4762" w:rsidRPr="00CA30ED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the Shapiro-</w:t>
      </w:r>
      <w:proofErr w:type="spellStart"/>
      <w:r w:rsidRPr="00CA30ED">
        <w:rPr>
          <w:rFonts w:ascii="Times New Roman" w:hAnsi="Times New Roman" w:cs="Times New Roman"/>
          <w:sz w:val="24"/>
          <w:szCs w:val="24"/>
          <w:lang w:val="en-GB"/>
        </w:rPr>
        <w:t>Wilk</w:t>
      </w:r>
      <w:proofErr w:type="spellEnd"/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test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In order to compare the differences in translucency between different types of materials and colours, one-way analyses of variance (ANOVA) with </w:t>
      </w:r>
      <w:r w:rsidR="00E74762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Student-Newman-</w:t>
      </w:r>
      <w:proofErr w:type="spellStart"/>
      <w:r w:rsidRPr="00CA30ED">
        <w:rPr>
          <w:rFonts w:ascii="Times New Roman" w:hAnsi="Times New Roman" w:cs="Times New Roman"/>
          <w:sz w:val="24"/>
          <w:szCs w:val="24"/>
          <w:lang w:val="en-GB"/>
        </w:rPr>
        <w:t>Keuls</w:t>
      </w:r>
      <w:proofErr w:type="spellEnd"/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hAnsi="Times New Roman" w:cs="Times New Roman"/>
          <w:i/>
          <w:sz w:val="24"/>
          <w:szCs w:val="24"/>
          <w:lang w:val="en-GB"/>
        </w:rPr>
        <w:t>post-hoc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test were used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In order to compare translucency before and after exposure to acid, a</w:t>
      </w:r>
      <w:r w:rsidR="00E74762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mixed type of two-way ANOVA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with intervention and material factors and three-way ANOVAs with intervention, material and colour factors and t-tests for dependent specimens were used for the assessment of differences within each material and each 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Effect sizes were quantified by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η2,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and for dependent specimens using 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equation r = 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√(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/t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+df).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Statisti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cal data were analysed by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685B91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IBM SPSS 22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E74762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software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="0095002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The level of s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ignificance was set at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p &lt; 0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.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05.</w:t>
      </w:r>
    </w:p>
    <w:p w:rsidR="00A82CEA" w:rsidRPr="00CA30ED" w:rsidRDefault="00A82CEA" w:rsidP="00A82CEA">
      <w:pPr>
        <w:spacing w:after="28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Results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Tabl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E7476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shows the comparison </w:t>
      </w:r>
      <w:r w:rsidR="00E7476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between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 of different colour</w:t>
      </w:r>
      <w:r w:rsidR="00E7476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fabricated by different fabrication techniques before and after exposure to acetic acid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IPS e.max Ceram Dentin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had significantly </w:t>
      </w:r>
      <w:r w:rsidR="00950022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lowest translucency, and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IPS e.max Press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highest </w:t>
      </w:r>
      <w:r w:rsidR="00950022">
        <w:rPr>
          <w:rFonts w:ascii="Times New Roman" w:hAnsi="Times New Roman" w:cs="Times New Roman"/>
          <w:sz w:val="24"/>
          <w:szCs w:val="24"/>
          <w:lang w:val="en-GB"/>
        </w:rPr>
        <w:t xml:space="preserve">translucency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(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in all colours before and after exposure to acid </w:t>
      </w: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p &lt; 0.001).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difference in translucency among colours was evident in IPS </w:t>
      </w:r>
      <w:proofErr w:type="spellStart"/>
      <w:r w:rsidRPr="00CA30ED">
        <w:rPr>
          <w:rFonts w:ascii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Ceram Dentin material</w:t>
      </w:r>
      <w:r w:rsidR="00950022">
        <w:rPr>
          <w:rFonts w:ascii="Times New Roman" w:hAnsi="Times New Roman" w:cs="Times New Roman"/>
          <w:sz w:val="24"/>
          <w:szCs w:val="24"/>
          <w:lang w:val="en-GB"/>
        </w:rPr>
        <w:t>, both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before and after exposure to acid with </w:t>
      </w:r>
      <w:r w:rsidR="009500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great effect size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 &lt; 0.001; η2 = 0.702 </w:t>
      </w:r>
      <w:r w:rsidR="00E7476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0.741)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and in IPS </w:t>
      </w:r>
      <w:proofErr w:type="spellStart"/>
      <w:r w:rsidRPr="00CA30ED">
        <w:rPr>
          <w:rFonts w:ascii="Times New Roman" w:hAnsi="Times New Roman" w:cs="Times New Roman"/>
          <w:sz w:val="24"/>
          <w:szCs w:val="24"/>
          <w:lang w:val="en-GB"/>
        </w:rPr>
        <w:t>e.max</w:t>
      </w:r>
      <w:proofErr w:type="spellEnd"/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Press material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(p &lt; 0.001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with effect size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0.547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0.576).</w:t>
      </w:r>
      <w:r w:rsidR="00950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IPS e.max Ceram Dentin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A2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had significantly the lowest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B3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the highest translucency</w:t>
      </w:r>
      <w:r w:rsidR="00AF26ED">
        <w:rPr>
          <w:rFonts w:ascii="Times New Roman" w:hAnsi="Times New Roman" w:cs="Times New Roman"/>
          <w:sz w:val="24"/>
          <w:szCs w:val="24"/>
          <w:lang w:val="en-GB"/>
        </w:rPr>
        <w:t>, both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before and after exposure to acid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IPS e.max Press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A2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E74762" w:rsidRPr="00CA30E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significantly lower translucency than </w:t>
      </w:r>
      <w:r w:rsidR="00AF26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C2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B3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both </w:t>
      </w:r>
      <w:r w:rsidR="00AF26ED">
        <w:rPr>
          <w:rFonts w:ascii="Times New Roman" w:hAnsi="Times New Roman" w:cs="Times New Roman"/>
          <w:sz w:val="24"/>
          <w:szCs w:val="24"/>
          <w:lang w:val="en-GB"/>
        </w:rPr>
        <w:t>prior</w:t>
      </w:r>
      <w:r w:rsidR="00AF26ED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and after exposure to acid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>. No significant difference was observed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AF26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26E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colour C2 and 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AF26E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colour </w:t>
      </w:r>
      <w:r w:rsidR="00AF26E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B3</w:t>
      </w:r>
      <w:proofErr w:type="gramStart"/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F26ED">
        <w:rPr>
          <w:rFonts w:ascii="Times New Roman" w:eastAsia="Times New Roman" w:hAnsi="Times New Roman" w:cs="Times New Roman"/>
          <w:sz w:val="24"/>
          <w:szCs w:val="24"/>
          <w:lang w:val="en-GB"/>
        </w:rPr>
        <w:t>Using</w:t>
      </w:r>
      <w:r w:rsidR="00AF26E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 material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IPS e.max CAD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differences among colours were not statistically significant </w:t>
      </w:r>
      <w:r w:rsidR="00E74762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either before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or after exposure to acid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(Tabl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E7476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Analysis of the effect of corrosion</w:t>
      </w:r>
    </w:p>
    <w:p w:rsidR="00A82CEA" w:rsidRPr="00CA30ED" w:rsidRDefault="00AF26ED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wo-way ANOVA did not </w:t>
      </w:r>
      <w:r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 significant interaction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corrosion test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and the material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tested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with respect to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translucenc</w:t>
      </w:r>
      <w:r w:rsidR="00237505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y</w:t>
      </w:r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.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hree-way ANOVA did not detect a significant interaction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 corrosion test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 with respect to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/>
        </w:rPr>
        <w:t>Acid caused a significant reduction in translucency only in</w:t>
      </w:r>
      <w:r w:rsidR="00AF26E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IPS e.max CAD 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specimen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A5C7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colour B3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(p = 0.006)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AF26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effect size of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58% (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Figure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amount of change </w:t>
      </w:r>
      <w:r w:rsidR="00AF26ED">
        <w:rPr>
          <w:rFonts w:ascii="Times New Roman" w:hAnsi="Times New Roman" w:cs="Times New Roman"/>
          <w:sz w:val="24"/>
          <w:szCs w:val="24"/>
          <w:lang w:val="en-GB" w:eastAsia="en-GB"/>
        </w:rPr>
        <w:t>of</w:t>
      </w:r>
      <w:r w:rsidR="00AF26ED"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translucency due to </w:t>
      </w:r>
      <w:r w:rsidR="00AF26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</w:t>
      </w:r>
      <w:r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exposure </w:t>
      </w:r>
      <w:r w:rsidR="00AF26ED">
        <w:rPr>
          <w:rFonts w:ascii="Times New Roman" w:hAnsi="Times New Roman" w:cs="Times New Roman"/>
          <w:sz w:val="24"/>
          <w:szCs w:val="24"/>
          <w:lang w:val="en-GB" w:eastAsia="en-GB"/>
        </w:rPr>
        <w:t>in</w:t>
      </w:r>
      <w:r w:rsidR="00AF26ED"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acid was </w:t>
      </w:r>
      <w:r w:rsidR="00AF26ED" w:rsidRPr="00CA30ED">
        <w:rPr>
          <w:rFonts w:ascii="Times New Roman" w:hAnsi="Times New Roman" w:cs="Times New Roman"/>
          <w:sz w:val="24"/>
          <w:szCs w:val="24"/>
          <w:lang w:val="en-GB" w:eastAsia="en-GB"/>
        </w:rPr>
        <w:t>a</w:t>
      </w:r>
      <w:r w:rsidR="00AF26ED">
        <w:rPr>
          <w:rFonts w:ascii="Times New Roman" w:hAnsi="Times New Roman" w:cs="Times New Roman"/>
          <w:sz w:val="24"/>
          <w:szCs w:val="24"/>
          <w:lang w:val="en-GB" w:eastAsia="en-GB"/>
        </w:rPr>
        <w:t>lmost</w:t>
      </w:r>
      <w:r w:rsidR="00AF26ED" w:rsidRPr="00CA30E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  <w:lang w:val="en-GB" w:eastAsia="en-GB"/>
        </w:rPr>
        <w:t>equal in all colours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237505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Figure </w:t>
      </w:r>
      <w:r w:rsidR="00CA5C7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CEA" w:rsidRPr="00CA30ED" w:rsidRDefault="00A82CEA" w:rsidP="00A82CEA">
      <w:pPr>
        <w:spacing w:after="10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A82CEA" w:rsidP="00A82CEA">
      <w:p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Discussion</w:t>
      </w:r>
    </w:p>
    <w:p w:rsidR="00A82CEA" w:rsidRPr="00CA30ED" w:rsidRDefault="00FE4FC2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</w:t>
      </w:r>
      <w:r w:rsidR="0085184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review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relevant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literature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s, which is a very important property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for the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aesthetic appearance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s, </w:t>
      </w:r>
      <w:r w:rsidR="006C63C0">
        <w:rPr>
          <w:rFonts w:ascii="Times New Roman" w:eastAsia="Times New Roman" w:hAnsi="Times New Roman" w:cs="Times New Roman"/>
          <w:sz w:val="24"/>
          <w:szCs w:val="24"/>
          <w:lang w:val="en-GB"/>
        </w:rPr>
        <w:t>has not been thoroughly investigated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The knowledge of optical properties of specific restorative materials makes their use in the clinical practice easier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Thus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the aim of this paper was to contribute to the clarification of this complex issue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Ceramics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covering the indication</w:t>
      </w:r>
      <w:r w:rsidR="006337A6" w:rsidRPr="00CA30E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from fabrication of thin veneers to </w:t>
      </w:r>
      <w:r w:rsidR="00242146">
        <w:rPr>
          <w:rFonts w:ascii="Times New Roman" w:hAnsi="Times New Roman" w:cs="Times New Roman"/>
          <w:sz w:val="24"/>
          <w:szCs w:val="24"/>
          <w:lang w:val="en-GB"/>
        </w:rPr>
        <w:t>fixed partial dentures</w:t>
      </w:r>
      <w:r w:rsidR="004F4A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were tested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Technological durability and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long-term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stable optical properties of the restoration depend on the mechanical properties of the material which are determined by its composition and microstructure, the course of fabrication in a dental laboratory, the quality of the finishing treatment of the restoration, the connective agent and the quality of the entire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fabrication procedure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(3, 22, </w:t>
      </w:r>
      <w:proofErr w:type="gram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proofErr w:type="gram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It is considered that the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layering </w:t>
      </w:r>
      <w:r w:rsidR="0021316E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liable to greatest errors because of the human factor and possible oversights in manual procedures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A82CEA" w:rsidRPr="00CA30ED" w:rsidRDefault="00773DBD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tatisti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cally significant differences among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fabricated by different techniques were recorded in this study</w:t>
      </w:r>
      <w:r w:rsidR="0008495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therefore the first research hypothesis is accepted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 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pecimen made by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heat-pressing </w:t>
      </w:r>
      <w:r w:rsidR="0021316E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(IPS e.max Press)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had the greatest </w:t>
      </w:r>
      <w:r w:rsidR="006C6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degree of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translucency, which is in accordance with </w:t>
      </w:r>
      <w:r w:rsidR="006C63C0">
        <w:rPr>
          <w:rFonts w:ascii="Times New Roman" w:eastAsia="Times New Roman" w:hAnsi="Times New Roman" w:cs="Times New Roman"/>
          <w:sz w:val="24"/>
          <w:szCs w:val="24"/>
          <w:lang w:val="en-GB"/>
        </w:rPr>
        <w:t>a research</w:t>
      </w:r>
      <w:r w:rsidR="006C63C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conducted by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Bagis</w:t>
      </w:r>
      <w:proofErr w:type="spell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 collaborators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(21).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However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6C63C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</w:t>
      </w:r>
      <w:r w:rsidR="006C63C0">
        <w:rPr>
          <w:rFonts w:ascii="Times New Roman" w:eastAsia="Times New Roman" w:hAnsi="Times New Roman" w:cs="Times New Roman"/>
          <w:sz w:val="24"/>
          <w:szCs w:val="24"/>
          <w:lang w:val="en-GB"/>
        </w:rPr>
        <w:t>ose</w:t>
      </w:r>
      <w:r w:rsidR="006C63C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authors state</w:t>
      </w:r>
      <w:r w:rsidR="006C63C0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specimens fabricated by computer-aided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manufactur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(IPS e.max CAD)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had the lowest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whereas in this </w:t>
      </w:r>
      <w:r w:rsidR="0008495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study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lowest translucency was measured </w:t>
      </w:r>
      <w:r w:rsidR="006337A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specimen fabricated by the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layering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technique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(IPS e.max Ceram Dentin).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This can be explained by the fact that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Press </w:t>
      </w:r>
      <w:r w:rsidR="004F4A73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e.max</w:t>
      </w:r>
      <w:proofErr w:type="spell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CAD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were selected in the high grade of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(HT),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whereas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e.max Ceram Dentin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was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opti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cally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relativ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ely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thick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EE0C59">
        <w:rPr>
          <w:rFonts w:ascii="Times New Roman" w:eastAsia="Times New Roman" w:hAnsi="Times New Roman" w:cs="Times New Roman"/>
          <w:sz w:val="24"/>
          <w:szCs w:val="24"/>
          <w:lang w:val="en-GB"/>
        </w:rPr>
        <w:t>However</w:t>
      </w:r>
      <w:r w:rsidR="00A82CEA" w:rsidRPr="00EE0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EE0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similarity is observed in that glass-ceramics fabricated by computer-aided </w:t>
      </w:r>
      <w:r w:rsidR="006337A6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manufactur</w:t>
      </w:r>
      <w:r w:rsidR="00191796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showed a lower grade of 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than </w:t>
      </w:r>
      <w:r w:rsidR="006337A6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glass-ceramics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fabricated by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04EB8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heat-pressing </w:t>
      </w:r>
      <w:r w:rsidR="0021316E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82CEA" w:rsidRPr="00CA30ED" w:rsidRDefault="006337A6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Significant differences were observed in this study b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 analysing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translucency of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specimens of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different colours fabricated by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 same technique</w:t>
      </w:r>
      <w:r w:rsidR="0008495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therefore the second research hypothesis is accepted</w:t>
      </w:r>
      <w:r w:rsidR="00A82CEA" w:rsidRPr="00EE0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EE0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was established 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that specimens fabricated by the </w:t>
      </w:r>
      <w:r w:rsidR="00A04EB8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layering </w:t>
      </w:r>
      <w:r w:rsidR="0021316E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="00A04EB8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04EB8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heat-pressing </w:t>
      </w:r>
      <w:r w:rsidR="0021316E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showed deviations in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contrast to </w:t>
      </w:r>
      <w:r w:rsidR="00084952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specimens fabricated by computer-aided 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manufactur</w:t>
      </w:r>
      <w:r w:rsidR="00191796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r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which showed</w:t>
      </w:r>
      <w:r w:rsidR="000163E9" w:rsidRPr="009517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difference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both before and after exposure to corrosion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Specimens fabricated by the layering technique showed the lowest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 all colours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Specimens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colour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A2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had the lowest translucency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whereas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translucency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colour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B3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was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greatest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Among specimens fabricated by the heat-pressing technique, 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colour A2 again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showed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lowest translucency, whereas 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colours C2 and B3 showed the same values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Specimens fabricated by computer-aided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manufacturing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did not show difference in the grade of translucency 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="00EC3B8E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different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colours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6337A6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l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ayering t</w:t>
      </w:r>
      <w:r w:rsidR="0021316E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echnique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liable to greatest vari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tions because ceramic powder is manually mixed with the liquid. The final condensation is conditioned by the size of the ceramic grain, the amount of the liquid introduced during modelling </w:t>
      </w:r>
      <w:r w:rsidR="0008495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condensation </w:t>
      </w:r>
      <w:r w:rsidR="0021316E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itself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Thus, great differences in the final product from one technician to another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may occur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163E9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Condensation procedures have a significant effect on optical and mechanical properties of the ceramic material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Chu and collaborators emphasise</w:t>
      </w:r>
      <w:r w:rsidR="00EC3B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that the precise </w:t>
      </w:r>
      <w:r w:rsidR="00283E0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powder/liquid ratio in accordance with the manufacturer’s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directions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does not always ensure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proper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thickness and porosity and consequently the translucency or opacity of the restoration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(24).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The importance of the chemical structure of the components and the size of crystals inserted in the glass matrix is also emphasised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(8).</w:t>
      </w:r>
    </w:p>
    <w:p w:rsidR="00A82CEA" w:rsidRPr="00CA30ED" w:rsidRDefault="000A0F20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 contrast to the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04EB8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layering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technique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factory-made semi-finished products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(IPS e.max Press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ceramic ingots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IPS e.max CAD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blocks for milling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are structurally more stable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Their 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were pressed in the factory under high temperature and pressure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which results in a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very thick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with a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homogen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eous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rostru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tur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al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picture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(21).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Wang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found out that the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 of the glass-ceramics restoration is significantly affected by the type and thickness of the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veneering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dental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The translucency of dental ceramics increases exponentially with reduced thickness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(7). Lim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showed comparable values of translucency measured by a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C24D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spectrophoto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met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higher values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spe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troradiomet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(25).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Other authors bring into correlation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of dental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with illumination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(26, 27),</w:t>
      </w:r>
      <w:r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 i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mpact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glaz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unglazed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surface of</w:t>
      </w:r>
      <w:r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(28)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 the impact of the cement and the colour of the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prepar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9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tooth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(29).</w:t>
      </w:r>
    </w:p>
    <w:p w:rsidR="00A82CEA" w:rsidRPr="00CA30ED" w:rsidRDefault="00367910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By artificial exposure of specimens to a corrosive medium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an insight </w:t>
      </w:r>
      <w:r w:rsidR="00191796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is gained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into the stability of glass-ceramics and the stability of the translucency property in the oral cavity compromised by corrosion in a significantly more rapid and simpler manner than in </w:t>
      </w:r>
      <w:r w:rsidR="00A82CEA" w:rsidRPr="00CA30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vivo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The use of acetic acid is justified for more reasons; it is often used in households, its pH (2.4) is very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lastRenderedPageBreak/>
        <w:t>similar to that of some beverages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such pH is also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present in the areas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below plaque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Such lower pH is also often present in the mouth of patients suffering from stomach diseases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4E0776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It is known that, because of the effect of the corrosive medium on the ceramic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restoration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there is a disruption of bonds in the fundamental structural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unit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glass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, silic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tetra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hedrons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which means that a greater amount of glass matrix in the material with the same corrosive effect of the environment results in greater corrosion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 Blo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computer-aided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manufacturing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contain significantly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much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less glass matrix than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ceramic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used in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layering </w:t>
      </w:r>
      <w:r w:rsidR="0021316E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technique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are therefore chemically more stable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(30, 31, </w:t>
      </w:r>
      <w:proofErr w:type="gram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32</w:t>
      </w:r>
      <w:proofErr w:type="gramEnd"/>
      <w:r w:rsidR="00A82CEA"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).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However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effect of the acid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 was not statistically significant in this study for any of the fabrication techniques</w:t>
      </w:r>
      <w:r w:rsidR="007D7A1B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therefore the third research hypothesis is rejected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results are in accordance with the results obtained by other authors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(20, 21).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conclusion can be made that ceramic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are chemically stable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Some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studies bring into relation the appearance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roughness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on the surface of the restoration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resulting from long-</w:t>
      </w:r>
      <w:r w:rsidR="00191796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term exposure to an acid medium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consequent changes in the optical properties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(19, 27).</w:t>
      </w:r>
      <w:r w:rsidR="00A82CEA" w:rsidRPr="00CA30E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However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9B287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additional research on this complex topic is needed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367910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Conclusion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EE0C59">
        <w:rPr>
          <w:rFonts w:ascii="Times New Roman" w:eastAsia="Times New Roman" w:hAnsi="Times New Roman" w:cs="Times New Roman"/>
          <w:sz w:val="24"/>
          <w:szCs w:val="24"/>
          <w:lang w:val="en-GB"/>
        </w:rPr>
        <w:t>Under the limitation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this study,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 conclusion can be made that different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184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types of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showed significant differences in </w:t>
      </w:r>
      <w:r w:rsidR="0085184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grades of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both with respect to the fabrication technique and with respect to colour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Exposure to a corrosive medium did not result in a statistically significant change in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Thus,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eramic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 fabricated by all fabrication techniques showed excellent chemical stability.</w:t>
      </w:r>
    </w:p>
    <w:p w:rsidR="00A82CEA" w:rsidRPr="00CA30ED" w:rsidRDefault="00A82CEA" w:rsidP="00A82CEA">
      <w:pPr>
        <w:spacing w:after="10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A82CEA" w:rsidP="00A82CEA">
      <w:pPr>
        <w:spacing w:after="10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>Acknowledgements</w:t>
      </w:r>
    </w:p>
    <w:p w:rsidR="00A82CEA" w:rsidRDefault="00613C02" w:rsidP="00A82CEA">
      <w:pPr>
        <w:spacing w:after="10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This paper was prepared within </w:t>
      </w:r>
      <w:r w:rsidR="00715B89">
        <w:rPr>
          <w:rFonts w:ascii="Times New Roman" w:eastAsia="Times New Roman" w:hAnsi="Times New Roman" w:cs="Times New Roman"/>
          <w:sz w:val="24"/>
          <w:szCs w:val="24"/>
          <w:lang w:val="en-GB"/>
        </w:rPr>
        <w:t>the framework of the scientific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research project 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Research of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erami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material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and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al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ergi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es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dental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pro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</w:t>
      </w:r>
      <w:r w:rsidR="00A82CEA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etic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="00E7763D"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“(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065-0650446-0435) (M</w:t>
      </w:r>
      <w:r w:rsidR="00715B89">
        <w:rPr>
          <w:rFonts w:ascii="Times New Roman" w:eastAsia="Times New Roman" w:hAnsi="Times New Roman" w:cs="Times New Roman"/>
          <w:sz w:val="24"/>
          <w:szCs w:val="24"/>
          <w:lang w:val="en-GB"/>
        </w:rPr>
        <w:t>SES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715B89">
        <w:rPr>
          <w:rFonts w:ascii="Times New Roman" w:eastAsia="Times New Roman" w:hAnsi="Times New Roman" w:cs="Times New Roman"/>
          <w:sz w:val="24"/>
          <w:szCs w:val="24"/>
          <w:lang w:val="en-GB"/>
        </w:rPr>
        <w:t>and the u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niversity </w:t>
      </w:r>
      <w:proofErr w:type="spellStart"/>
      <w:r w:rsidR="00E7763D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support”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Research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new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and fabrication techniques in dental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etic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“.</w:t>
      </w:r>
    </w:p>
    <w:p w:rsidR="00715B89" w:rsidRDefault="00715B89" w:rsidP="00A82CEA">
      <w:pPr>
        <w:spacing w:after="10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5B89" w:rsidRPr="00715B89" w:rsidRDefault="00715B89" w:rsidP="00715B89">
      <w:pPr>
        <w:spacing w:after="10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5B89">
        <w:rPr>
          <w:rFonts w:ascii="Times New Roman" w:eastAsia="Times New Roman" w:hAnsi="Times New Roman" w:cs="Times New Roman"/>
          <w:sz w:val="24"/>
          <w:szCs w:val="24"/>
          <w:lang w:val="en-GB"/>
        </w:rPr>
        <w:t>Conflict of interest</w:t>
      </w:r>
    </w:p>
    <w:p w:rsidR="00715B89" w:rsidRPr="00CA30ED" w:rsidRDefault="00715B89" w:rsidP="00715B89">
      <w:pPr>
        <w:spacing w:after="10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5B89">
        <w:rPr>
          <w:rFonts w:ascii="Times New Roman" w:eastAsia="Times New Roman" w:hAnsi="Times New Roman" w:cs="Times New Roman"/>
          <w:sz w:val="24"/>
          <w:szCs w:val="24"/>
          <w:lang w:val="en-GB"/>
        </w:rPr>
        <w:t>None to declare</w:t>
      </w:r>
    </w:p>
    <w:p w:rsidR="00A82CEA" w:rsidRPr="00CA30ED" w:rsidRDefault="00A82CEA" w:rsidP="00A82CEA">
      <w:pPr>
        <w:spacing w:after="10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A82CEA" w:rsidP="00A82CEA">
      <w:pPr>
        <w:spacing w:after="10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Literatur</w:t>
      </w:r>
      <w:r w:rsidR="00FE4FC2"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Brodbelt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RH, O’Brien WJ, Fan PL. Translucency of dental porcelains. J Dent Res 1980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;59:70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–5.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Yu B,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Ahn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JS, Lee YK. Measurement of translucency of tooth enamel and dentin.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Acta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Odontol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Scand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2009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;67:57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-64.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Mehulić K.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Keramički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</w:t>
      </w:r>
      <w:r w:rsidR="00FE4FC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j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stomatološkoj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protetici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Zagreb: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Školska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knjiga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 2010.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Kelly JR. Dental ceramics: current thinking and trends. Dent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Clin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 Am. 2004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;48:513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-30.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Živko-Babić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J, Mehulić K,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Ivaniš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Predanić-Gašparac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Pregled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pojedinih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keramičkih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sustava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I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Dio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Povijesni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prikaz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4FC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erami</w:t>
      </w:r>
      <w:r w:rsidR="00FE4FC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Acta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Stomatol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Croat. 1994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;28:217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-21.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6. Mehulić K,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Živko-Babić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Ivaniš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Kustec-Pribilović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Predanić-Gašparac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H. </w:t>
      </w:r>
      <w:r w:rsidR="007D7A1B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Glass-ceramics in fixed </w:t>
      </w:r>
      <w:proofErr w:type="spellStart"/>
      <w:r w:rsidR="007D7A1B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prosthodontics</w:t>
      </w:r>
      <w:r w:rsidR="00FE4FC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Staklokeramika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fiksnoj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protetici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Dicor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Empress.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Acta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Stomatol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Croat. 1997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;31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(2):149-55.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7. </w:t>
      </w:r>
      <w:hyperlink r:id="rId4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Wang F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5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Takahashi H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6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Iwasaki N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Translucency of dental ceramics with different thicknesses. </w:t>
      </w:r>
      <w:hyperlink r:id="rId7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J </w:t>
        </w:r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Prosthet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Dent.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2013</w:t>
      </w:r>
      <w:proofErr w:type="gram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;110</w:t>
      </w:r>
      <w:proofErr w:type="gram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(1):14-20.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 Zhang Y, Griggs JA, </w:t>
      </w:r>
      <w:proofErr w:type="spellStart"/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Benham</w:t>
      </w:r>
      <w:proofErr w:type="spellEnd"/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AW: Influence of powder/liquid ratio on porosity and translucency of dental porcelains.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Prosthet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Dent. 2004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;91:128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-35.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9. Kim JH, Lee JK, Powers JM. Influence of a series of organic and chemical substances on the translucency of resin composites. J Biomed Mater Research Part B Applied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Biomater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 2006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;77:21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-7.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Suvin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protetika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Zagreb: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Školska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knjiga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 1987.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11. Davis MJ. Practical aspects and implications of interfaces in glass-ceramics: A review.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 Mater Res. 2008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;99:120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–28.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Rosenblum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MA, Schulman A. A review of all-ceramic restorations. JADA. 1997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;128:297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-307.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13.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Höland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Beall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GH. Glass-Ceramic Technology. 2nd 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New York: Society/Wiley; 2010.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14.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Barão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VA,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Gennari-Filho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H,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Goiato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MC, Dos Santos DM,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Pesqueira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AA. </w:t>
      </w:r>
      <w:hyperlink r:id="rId8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Factors to achieve aesthetics in all-ceramic restorations.</w:t>
        </w:r>
      </w:hyperlink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Craniofac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Surg. 2010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;21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(6):2007-12.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15. </w:t>
      </w:r>
      <w:hyperlink r:id="rId9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Isgrò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G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10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Kleverlaan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CJ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11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Wang H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12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Feilzer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AJ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The influence of multiple firing on thermal contraction of ceramic materials used for the fabrication of layered all-ceramic dental restorations. </w:t>
      </w:r>
      <w:hyperlink r:id="rId13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Dent Mater.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2005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;21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(6):557-64.</w:t>
      </w:r>
    </w:p>
    <w:p w:rsidR="00A82CEA" w:rsidRPr="00CA30ED" w:rsidRDefault="00A82CEA" w:rsidP="00A82CEA">
      <w:pPr>
        <w:tabs>
          <w:tab w:val="left" w:pos="3990"/>
        </w:tabs>
        <w:spacing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16.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Anusavice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KJ. Degradability of dental ceramics. Adv Dent Res. 1992; 6: 82-9.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17.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Jakovac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Zivko-Babic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Curkovic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Aurer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 Chemical durability of dental ceramic material in acid medium.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Acta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Stomatol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Croat. 2006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;40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(1):65–71.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18. Stanley HR. Biological evaluation of dental materials.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 J. 1992; 42: 37-46. 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19.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Milleding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Karlsson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Nyborg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L. On the surface elemental composition of non-corroded and corroded dental ceramic materials in vitro. J Mater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Sci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Mater Med. 2003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;14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(6):557–66.</w:t>
      </w:r>
    </w:p>
    <w:p w:rsidR="00A82CEA" w:rsidRPr="00CA30ED" w:rsidRDefault="00A82CEA" w:rsidP="00A82CEA">
      <w:pPr>
        <w:tabs>
          <w:tab w:val="left" w:pos="3990"/>
        </w:tabs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Ćurković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L, [cited 2014 April 4]. Available from:  </w:t>
      </w:r>
      <w:r w:rsidR="0072510C" w:rsidRPr="00CA30ED">
        <w:rPr>
          <w:rFonts w:ascii="Times New Roman" w:hAnsi="Times New Roman" w:cs="Times New Roman"/>
          <w:sz w:val="24"/>
          <w:szCs w:val="24"/>
          <w:lang w:val="en-GB"/>
        </w:rPr>
        <w:t>http://www.fsb.hr/zavod_za_materiale/download/1355a7df5d2bc1e31382434a65624b6a.pdf</w:t>
      </w:r>
    </w:p>
    <w:p w:rsidR="00A82CEA" w:rsidRPr="00CA30ED" w:rsidRDefault="004C7EAD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hyperlink r:id="rId14" w:history="1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21. </w:t>
      </w:r>
      <w:proofErr w:type="spell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Bagis</w:t>
      </w:r>
      <w:proofErr w:type="spell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B, </w:t>
      </w:r>
      <w:proofErr w:type="spell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Turgut</w:t>
      </w:r>
      <w:proofErr w:type="spell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S. Optical properties of current ceramics systems for laminate veneers. J Dent. 2013</w:t>
      </w:r>
      <w:proofErr w:type="gramStart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;41:24</w:t>
      </w:r>
      <w:proofErr w:type="gramEnd"/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–30.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22.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Raigrodski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AJ,</w:t>
      </w:r>
      <w:r w:rsidR="00851840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Chiche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GJ. The safety and effica</w:t>
      </w:r>
      <w:r w:rsidR="00FE4FC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 of anterior ceramic fixed partial dentures: A review of the literature.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Prosthet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Dent. 2001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;86:520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-5.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23. Esquivel-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Upshow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JF, Chai J,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Sansano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S, Schonberg D. Resistance to staining, flexural strength and chemical solubility for all ceramic crowns.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Prosthodont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 2001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;14:284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-8.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24.</w:t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Chu FC, Chow TW, Chai J, Law D. Contrast ratios and masking ability of three types of ceramic veneers.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Prosthet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Dent. 2007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;98:359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-64.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25. </w:t>
      </w:r>
      <w:hyperlink r:id="rId15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Lim HN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16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Yu B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17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Lee YK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proofErr w:type="spell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Spectroradiometric</w:t>
      </w:r>
      <w:proofErr w:type="spell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and spectrophotometric translucency of ceramic materials. </w:t>
      </w:r>
      <w:hyperlink r:id="rId18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J </w:t>
        </w:r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Prosthet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Dent.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20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;104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(4):239-46.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26.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Ahn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JS, Lee YK. Difference in the translucency of all-ceramics by the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illuminant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 Dent Mater. 2008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;24:1539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–44.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27. Heffernan MJ,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Aquilino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SA, Diaz-Arnold AM,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Haselton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DR, Stanford CM, Vargas MA. Relative translucency of six all-ceramic systems. Part II. Core and veneer materials.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Prosthet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Dent. 2002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;88:10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–5.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28. </w:t>
      </w:r>
      <w:hyperlink r:id="rId19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Milleding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P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20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Wennerberg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A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21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Alaeddin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S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22" w:history="1">
        <w:proofErr w:type="spellStart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Karlsson</w:t>
        </w:r>
        <w:proofErr w:type="spellEnd"/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S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23" w:history="1">
        <w:r w:rsidRPr="00CA30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Simon E</w:t>
        </w:r>
      </w:hyperlink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. Surface corrosion of dental ceramics in vitro. Biomaterials. 1999</w:t>
      </w:r>
      <w:proofErr w:type="gramStart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;20</w:t>
      </w:r>
      <w:proofErr w:type="gramEnd"/>
      <w:r w:rsidRPr="00CA30ED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(8):733-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46.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29.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Milardović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Ortolan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Utjecaj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biološke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osnove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optičkih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svojstava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debljine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gradivnih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fiksacijskih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2D3C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material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boju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nadomjeska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litij-disilikatne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4FC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staklokeramike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[dissertation]. Zagreb: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Stomatološki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fakultet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Sveučilišta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Zagrebu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 2014.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30.</w:t>
      </w:r>
      <w:r w:rsidRPr="00CA30ED">
        <w:rPr>
          <w:rFonts w:ascii="Times New Roman" w:eastAsia="Bellez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Paravina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RD. Evaluation of a newly developed visual shade matching apparatus.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Prosthodont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 2002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;15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(6):528-34. 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31.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Fondriest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J. Shade matching in restorative dentistry; 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science and strategies.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Int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 Periodontics Restorative Dent. 2003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;23:467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–79.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32.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Gurel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Boja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Znanje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vještina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izradi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estetskih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keramičkih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ljuski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London, Chicago, Berlin: Quintessence Publishing; 2003. </w:t>
      </w:r>
      <w:proofErr w:type="gram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p.157-204</w:t>
      </w:r>
      <w:proofErr w:type="gram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4953000" cy="380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00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EA" w:rsidRPr="00CA30ED" w:rsidRDefault="00FE4FC2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Figure</w:t>
      </w:r>
      <w:r w:rsidR="00851840"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Comparison of translucency before and after exposure to acid with respect to material and colou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333875" cy="3190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9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EA" w:rsidRPr="00CA30ED" w:rsidRDefault="00FE4FC2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851840"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="00A82CEA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82CEA" w:rsidRPr="00CA30ED">
        <w:rPr>
          <w:rFonts w:ascii="Times New Roman" w:hAnsi="Times New Roman" w:cs="Times New Roman"/>
          <w:sz w:val="24"/>
          <w:szCs w:val="24"/>
          <w:lang w:val="en-GB"/>
        </w:rPr>
        <w:t>Comparison of the amount of change in translucency due to exposure to acid between materials and colours</w:t>
      </w:r>
    </w:p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82CEA" w:rsidRPr="00CA30ED" w:rsidRDefault="00A82CEA" w:rsidP="00A82CEA">
      <w:pPr>
        <w:tabs>
          <w:tab w:val="left" w:pos="851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>Tabl</w:t>
      </w:r>
      <w:r w:rsidR="00613C02" w:rsidRPr="00CA30ED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851840" w:rsidRPr="00CA30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  <w:r w:rsidRPr="00CA30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hAnsi="Times New Roman" w:cs="Times New Roman"/>
          <w:sz w:val="24"/>
          <w:szCs w:val="24"/>
          <w:lang w:val="en-GB"/>
        </w:rPr>
        <w:t>Layout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hAnsi="Times New Roman" w:cs="Times New Roman"/>
          <w:sz w:val="24"/>
          <w:szCs w:val="24"/>
          <w:lang w:val="en-GB"/>
        </w:rPr>
        <w:t>of tested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2D10" w:rsidRPr="00CA30ED">
        <w:rPr>
          <w:rFonts w:ascii="Times New Roman" w:hAnsi="Times New Roman" w:cs="Times New Roman"/>
          <w:sz w:val="24"/>
          <w:szCs w:val="24"/>
          <w:lang w:val="en-GB"/>
        </w:rPr>
        <w:t>glass-c</w:t>
      </w:r>
      <w:r w:rsidR="00242D3C" w:rsidRPr="00CA30ED">
        <w:rPr>
          <w:rFonts w:ascii="Times New Roman" w:hAnsi="Times New Roman" w:cs="Times New Roman"/>
          <w:sz w:val="24"/>
          <w:szCs w:val="24"/>
          <w:lang w:val="en-GB"/>
        </w:rPr>
        <w:t>eramic</w:t>
      </w:r>
      <w:r w:rsidR="00613C02" w:rsidRPr="00CA30ED">
        <w:rPr>
          <w:rFonts w:ascii="Times New Roman" w:hAnsi="Times New Roman" w:cs="Times New Roman"/>
          <w:sz w:val="24"/>
          <w:szCs w:val="24"/>
          <w:lang w:val="en-GB"/>
        </w:rPr>
        <w:t>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225"/>
        <w:gridCol w:w="25"/>
        <w:gridCol w:w="1620"/>
      </w:tblGrid>
      <w:tr w:rsidR="00A82CEA" w:rsidRPr="00CA30ED" w:rsidTr="006F3BED">
        <w:trPr>
          <w:trHeight w:val="317"/>
        </w:trPr>
        <w:tc>
          <w:tcPr>
            <w:tcW w:w="1908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A82CEA" w:rsidRPr="00CA30ED" w:rsidRDefault="00613C02" w:rsidP="006F3BED">
            <w:pPr>
              <w:tabs>
                <w:tab w:val="left" w:pos="851"/>
                <w:tab w:val="left" w:pos="8505"/>
              </w:tabs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Trade mark</w:t>
            </w:r>
            <w:r w:rsidR="00A82CEA"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A82CEA" w:rsidRPr="00CA30ED" w:rsidRDefault="00613C02" w:rsidP="00613C02">
            <w:pPr>
              <w:tabs>
                <w:tab w:val="left" w:pos="851"/>
                <w:tab w:val="left" w:pos="8505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G</w:t>
            </w:r>
            <w:r w:rsidR="002D2D10"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lass-c</w:t>
            </w:r>
            <w:r w:rsidR="00242D3C"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eramic</w:t>
            </w:r>
            <w:r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s type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</w:tcPr>
          <w:p w:rsidR="00A82CEA" w:rsidRPr="00CA30ED" w:rsidRDefault="00613C02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Fabrication technique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A82CEA" w:rsidRPr="00CA30ED" w:rsidRDefault="00613C02" w:rsidP="00CA30ED">
            <w:pPr>
              <w:tabs>
                <w:tab w:val="left" w:pos="851"/>
                <w:tab w:val="left" w:pos="8505"/>
              </w:tabs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Number of specimens</w:t>
            </w:r>
          </w:p>
        </w:tc>
      </w:tr>
      <w:tr w:rsidR="00A82CEA" w:rsidRPr="00CA30ED" w:rsidTr="006F3BED">
        <w:trPr>
          <w:trHeight w:val="317"/>
        </w:trPr>
        <w:tc>
          <w:tcPr>
            <w:tcW w:w="1908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82CEA" w:rsidRPr="00CA30ED" w:rsidRDefault="00A82CEA" w:rsidP="00613C02">
            <w:pPr>
              <w:tabs>
                <w:tab w:val="left" w:pos="851"/>
                <w:tab w:val="left" w:pos="8505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lit</w:t>
            </w:r>
            <w:r w:rsidR="00613C02"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hium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disili</w:t>
            </w:r>
            <w:r w:rsidR="00613C02"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="00613C02"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</w:tcBorders>
          </w:tcPr>
          <w:p w:rsidR="00A82CEA" w:rsidRPr="00CA30ED" w:rsidRDefault="00A04EB8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heat-pressing</w:t>
            </w:r>
            <w:r w:rsidR="00A82CEA"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1316E"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technique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82CEA" w:rsidRPr="00CA30ED" w:rsidTr="006F3BED">
        <w:trPr>
          <w:trHeight w:val="317"/>
        </w:trPr>
        <w:tc>
          <w:tcPr>
            <w:tcW w:w="1908" w:type="dxa"/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2430" w:type="dxa"/>
            <w:vMerge/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A82CEA" w:rsidRPr="00CA30ED" w:rsidRDefault="00613C02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CAD/CAM</w:t>
            </w:r>
          </w:p>
        </w:tc>
        <w:tc>
          <w:tcPr>
            <w:tcW w:w="1645" w:type="dxa"/>
            <w:gridSpan w:val="2"/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82CEA" w:rsidRPr="00CA30ED" w:rsidTr="006F3BED">
        <w:trPr>
          <w:trHeight w:val="317"/>
        </w:trPr>
        <w:tc>
          <w:tcPr>
            <w:tcW w:w="1908" w:type="dxa"/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2430" w:type="dxa"/>
          </w:tcPr>
          <w:p w:rsidR="00A82CEA" w:rsidRPr="00CA30ED" w:rsidRDefault="00A82CEA" w:rsidP="00613C02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nano-fluorapatit</w:t>
            </w:r>
            <w:r w:rsidR="00613C02"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2225" w:type="dxa"/>
          </w:tcPr>
          <w:p w:rsidR="00A82CEA" w:rsidRPr="00CA30ED" w:rsidRDefault="00A04EB8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layering technique</w:t>
            </w:r>
          </w:p>
        </w:tc>
        <w:tc>
          <w:tcPr>
            <w:tcW w:w="1645" w:type="dxa"/>
            <w:gridSpan w:val="2"/>
          </w:tcPr>
          <w:p w:rsidR="00A82CEA" w:rsidRPr="00CA30ED" w:rsidRDefault="00A82CEA" w:rsidP="006F3BED">
            <w:pPr>
              <w:tabs>
                <w:tab w:val="left" w:pos="851"/>
                <w:tab w:val="left" w:pos="8505"/>
              </w:tabs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CEA" w:rsidRPr="00CA30ED" w:rsidRDefault="00A82CEA" w:rsidP="00A82CEA">
      <w:p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82CEA" w:rsidRPr="00CA30ED" w:rsidRDefault="00A82CEA" w:rsidP="00A82CEA">
      <w:p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</w:t>
      </w:r>
      <w:r w:rsidR="00613C02"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</w:t>
      </w:r>
      <w:r w:rsidRPr="00CA30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2.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Comparison of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translucenc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before and after corrosion among materials of the same 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 t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 xml:space="preserve">0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= translucenc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before exposure to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or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sive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medium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; t</w:t>
      </w:r>
      <w:r w:rsidRPr="00CA30ED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 xml:space="preserve">1 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</w:t>
      </w:r>
      <w:r w:rsidR="00613C02"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translucency after exposure to corrosive medium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540"/>
        <w:gridCol w:w="1620"/>
        <w:gridCol w:w="1285"/>
        <w:gridCol w:w="990"/>
        <w:gridCol w:w="810"/>
      </w:tblGrid>
      <w:tr w:rsidR="00A82CEA" w:rsidRPr="00CA30ED" w:rsidTr="006F3BED">
        <w:trPr>
          <w:trHeight w:val="30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widowControl w:val="0"/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AS±SD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p*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η2</w:t>
            </w:r>
          </w:p>
        </w:tc>
      </w:tr>
      <w:tr w:rsidR="00A82CEA" w:rsidRPr="00CA30ED" w:rsidTr="006F3BED">
        <w:trPr>
          <w:trHeight w:val="552"/>
        </w:trPr>
        <w:tc>
          <w:tcPr>
            <w:tcW w:w="1818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13C02">
            <w:pPr>
              <w:snapToGrid w:val="0"/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Translucenc</w:t>
            </w:r>
            <w:r w:rsidR="00613C02"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</w:t>
            </w: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7.58±0.92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55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16.50±0.33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55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14.17±0.85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0.966</w:t>
            </w:r>
          </w:p>
        </w:tc>
      </w:tr>
      <w:tr w:rsidR="00A82CEA" w:rsidRPr="00CA30ED" w:rsidTr="006F3BED">
        <w:trPr>
          <w:trHeight w:val="552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8.61±0.34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37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17.53±0.50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19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13.87±1.17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0.963</w:t>
            </w:r>
          </w:p>
        </w:tc>
      </w:tr>
      <w:tr w:rsidR="00A82CEA" w:rsidRPr="00CA30ED" w:rsidTr="006F3BED">
        <w:trPr>
          <w:trHeight w:val="552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B3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9.69±0.30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37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17.58±0.58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19"/>
        </w:trPr>
        <w:tc>
          <w:tcPr>
            <w:tcW w:w="1818" w:type="dxa"/>
            <w:vMerge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14.27±0.50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0.981</w:t>
            </w:r>
          </w:p>
        </w:tc>
      </w:tr>
      <w:tr w:rsidR="00A82CEA" w:rsidRPr="00CA30ED" w:rsidTr="006F3BED">
        <w:trPr>
          <w:trHeight w:val="552"/>
        </w:trPr>
        <w:tc>
          <w:tcPr>
            <w:tcW w:w="1818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13C02">
            <w:pPr>
              <w:snapToGrid w:val="0"/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Translucenc</w:t>
            </w:r>
            <w:r w:rsidR="00613C02"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</w:t>
            </w:r>
            <w:r w:rsidRPr="00CA30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7.50±0.69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55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16.18±0.30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37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13.95±0.68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0.978</w:t>
            </w:r>
          </w:p>
        </w:tc>
      </w:tr>
      <w:tr w:rsidR="00A82CEA" w:rsidRPr="00CA30ED" w:rsidTr="006F3BED">
        <w:trPr>
          <w:trHeight w:val="552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8.62±0.41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37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17.52±0.68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19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13.87±1.33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0.949</w:t>
            </w:r>
          </w:p>
        </w:tc>
      </w:tr>
      <w:tr w:rsidR="00A82CEA" w:rsidRPr="00CA30ED" w:rsidTr="006F3BED">
        <w:trPr>
          <w:trHeight w:val="552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B3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Ceram Dentin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9.62±0.48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382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Press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17.47±0.62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CEA" w:rsidRPr="00CA30ED" w:rsidTr="006F3BED">
        <w:trPr>
          <w:trHeight w:val="445"/>
        </w:trPr>
        <w:tc>
          <w:tcPr>
            <w:tcW w:w="1818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vMerge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 e.max CAD</w:t>
            </w:r>
          </w:p>
        </w:tc>
        <w:tc>
          <w:tcPr>
            <w:tcW w:w="1285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13.75±0.36</w:t>
            </w: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0" w:type="dxa"/>
          </w:tcPr>
          <w:p w:rsidR="00A82CEA" w:rsidRPr="00CA30ED" w:rsidRDefault="00A82CEA" w:rsidP="006F3BED">
            <w:pPr>
              <w:snapToGrid w:val="0"/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A30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0.979</w:t>
            </w:r>
          </w:p>
        </w:tc>
      </w:tr>
    </w:tbl>
    <w:p w:rsidR="00A82CEA" w:rsidRPr="00CA30ED" w:rsidRDefault="00A82CEA" w:rsidP="00A82CEA">
      <w:pPr>
        <w:spacing w:after="0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*ANOVA and Student-Newman-</w:t>
      </w:r>
      <w:proofErr w:type="spellStart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Keuls</w:t>
      </w:r>
      <w:proofErr w:type="spellEnd"/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30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post-hoc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test. </w:t>
      </w:r>
      <w:r w:rsidRPr="00CA30ED">
        <w:rPr>
          <w:rFonts w:ascii="Times New Roman" w:hAnsi="Times New Roman" w:cs="Times New Roman"/>
          <w:sz w:val="24"/>
          <w:szCs w:val="24"/>
          <w:lang w:val="en-GB"/>
        </w:rPr>
        <w:t>Types of materials which have different letters in the exponent have a statistically significant difference within the same colour</w:t>
      </w:r>
      <w:r w:rsidRPr="00CA30E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82CEA" w:rsidRPr="00CA30ED" w:rsidRDefault="00A82CEA" w:rsidP="00A82CEA">
      <w:pPr>
        <w:spacing w:after="0" w:line="480" w:lineRule="auto"/>
        <w:ind w:left="0" w:right="0"/>
        <w:rPr>
          <w:rFonts w:ascii="Times New Roman" w:hAnsi="Times New Roman" w:cs="Times New Roman"/>
          <w:sz w:val="24"/>
          <w:szCs w:val="24"/>
          <w:lang w:val="en-GB"/>
        </w:rPr>
      </w:pPr>
    </w:p>
    <w:p w:rsidR="002E481C" w:rsidRPr="00CA30ED" w:rsidRDefault="002E481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E481C" w:rsidRPr="00CA30ED" w:rsidSect="006F3BED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ez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47"/>
    <w:rsid w:val="000163E9"/>
    <w:rsid w:val="00040BB5"/>
    <w:rsid w:val="00084952"/>
    <w:rsid w:val="000A0F20"/>
    <w:rsid w:val="000D0D96"/>
    <w:rsid w:val="00191796"/>
    <w:rsid w:val="0021316E"/>
    <w:rsid w:val="002133B8"/>
    <w:rsid w:val="00222548"/>
    <w:rsid w:val="00237505"/>
    <w:rsid w:val="00242146"/>
    <w:rsid w:val="00242D3C"/>
    <w:rsid w:val="00283E0A"/>
    <w:rsid w:val="002D2D10"/>
    <w:rsid w:val="002E481C"/>
    <w:rsid w:val="00367910"/>
    <w:rsid w:val="004C7EAD"/>
    <w:rsid w:val="004E0776"/>
    <w:rsid w:val="004F4A73"/>
    <w:rsid w:val="00570525"/>
    <w:rsid w:val="006116D2"/>
    <w:rsid w:val="00613C02"/>
    <w:rsid w:val="006337A6"/>
    <w:rsid w:val="006371EE"/>
    <w:rsid w:val="006810E6"/>
    <w:rsid w:val="00685B91"/>
    <w:rsid w:val="006C24D6"/>
    <w:rsid w:val="006C63C0"/>
    <w:rsid w:val="006F3BED"/>
    <w:rsid w:val="00715B89"/>
    <w:rsid w:val="0072510C"/>
    <w:rsid w:val="00773DBD"/>
    <w:rsid w:val="00786B7D"/>
    <w:rsid w:val="007C7A80"/>
    <w:rsid w:val="007D7A1B"/>
    <w:rsid w:val="00851840"/>
    <w:rsid w:val="008A167A"/>
    <w:rsid w:val="008E643E"/>
    <w:rsid w:val="008F4857"/>
    <w:rsid w:val="00904B1C"/>
    <w:rsid w:val="00950022"/>
    <w:rsid w:val="009517DD"/>
    <w:rsid w:val="009B287C"/>
    <w:rsid w:val="009F3F74"/>
    <w:rsid w:val="00A018F9"/>
    <w:rsid w:val="00A04EB8"/>
    <w:rsid w:val="00A151EC"/>
    <w:rsid w:val="00A82CEA"/>
    <w:rsid w:val="00AF26ED"/>
    <w:rsid w:val="00B47A47"/>
    <w:rsid w:val="00B84613"/>
    <w:rsid w:val="00B942D0"/>
    <w:rsid w:val="00C958B2"/>
    <w:rsid w:val="00CA30ED"/>
    <w:rsid w:val="00CA5C76"/>
    <w:rsid w:val="00D70430"/>
    <w:rsid w:val="00D72547"/>
    <w:rsid w:val="00D75472"/>
    <w:rsid w:val="00DF24B3"/>
    <w:rsid w:val="00DF7401"/>
    <w:rsid w:val="00E74762"/>
    <w:rsid w:val="00E7763D"/>
    <w:rsid w:val="00E945F4"/>
    <w:rsid w:val="00EC3B8E"/>
    <w:rsid w:val="00EE0C59"/>
    <w:rsid w:val="00F0748E"/>
    <w:rsid w:val="00F30472"/>
    <w:rsid w:val="00F50726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724EE-0D8B-4AF8-BC8E-8811B8C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EA"/>
    <w:pPr>
      <w:suppressAutoHyphens/>
      <w:ind w:left="624" w:right="624"/>
    </w:pPr>
    <w:rPr>
      <w:rFonts w:ascii="Calibri" w:eastAsia="Calibri" w:hAnsi="Calibri" w:cs="Calibri"/>
      <w:color w:val="00000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82CEA"/>
    <w:rPr>
      <w:color w:val="000080"/>
      <w:u w:val="single"/>
    </w:rPr>
  </w:style>
  <w:style w:type="character" w:customStyle="1" w:styleId="citation">
    <w:name w:val="citation"/>
    <w:basedOn w:val="DefaultParagraphFont"/>
    <w:rsid w:val="00A82CEA"/>
  </w:style>
  <w:style w:type="paragraph" w:styleId="BalloonText">
    <w:name w:val="Balloon Text"/>
    <w:basedOn w:val="Normal"/>
    <w:link w:val="BalloonTextChar"/>
    <w:uiPriority w:val="99"/>
    <w:semiHidden/>
    <w:unhideWhenUsed/>
    <w:rsid w:val="00A8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A"/>
    <w:rPr>
      <w:rFonts w:ascii="Tahoma" w:eastAsia="Calibri" w:hAnsi="Tahoma" w:cs="Tahoma"/>
      <w:color w:val="000000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119487" TargetMode="External"/><Relationship Id="rId13" Type="http://schemas.openxmlformats.org/officeDocument/2006/relationships/hyperlink" Target="http://materials./" TargetMode="External"/><Relationship Id="rId18" Type="http://schemas.openxmlformats.org/officeDocument/2006/relationships/hyperlink" Target="http://dentistry.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?term=Alaeddin%20S%5BAuthor%5D&amp;cauthor=true&amp;cauthor_uid=10353656" TargetMode="External"/><Relationship Id="rId7" Type="http://schemas.openxmlformats.org/officeDocument/2006/relationships/hyperlink" Target="http://dentistry./" TargetMode="External"/><Relationship Id="rId12" Type="http://schemas.openxmlformats.org/officeDocument/2006/relationships/hyperlink" Target="http://www.ncbi.nlm.nih.gov/pubmed?term=Feilzer%20AJ%5BAuthor%5D&amp;cauthor=true&amp;cauthor_uid=15904699" TargetMode="External"/><Relationship Id="rId17" Type="http://schemas.openxmlformats.org/officeDocument/2006/relationships/hyperlink" Target="http://www.ncbi.nlm.nih.gov/pubmed?term=Lee%20YK%5BAuthor%5D&amp;cauthor=true&amp;cauthor_uid=20875528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?term=Yu%20B%5BAuthor%5D&amp;cauthor=true&amp;cauthor_uid=20875528" TargetMode="External"/><Relationship Id="rId20" Type="http://schemas.openxmlformats.org/officeDocument/2006/relationships/hyperlink" Target="http://www.ncbi.nlm.nih.gov/pubmed?term=Wennerberg%20A%5BAuthor%5D&amp;cauthor=true&amp;cauthor_uid=103536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Iwasaki%20N%5BAuthor%5D&amp;cauthor=true&amp;cauthor_uid=23849609" TargetMode="External"/><Relationship Id="rId11" Type="http://schemas.openxmlformats.org/officeDocument/2006/relationships/hyperlink" Target="http://www.ncbi.nlm.nih.gov/pubmed?term=Wang%20H%5BAuthor%5D&amp;cauthor=true&amp;cauthor_uid=15904699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ncbi.nlm.nih.gov/pubmed?term=Takahashi%20H%5BAuthor%5D&amp;cauthor=true&amp;cauthor_uid=23849609" TargetMode="External"/><Relationship Id="rId15" Type="http://schemas.openxmlformats.org/officeDocument/2006/relationships/hyperlink" Target="http://www.ncbi.nlm.nih.gov/pubmed?term=Lim%20HN%5BAuthor%5D&amp;cauthor=true&amp;cauthor_uid=20875528" TargetMode="External"/><Relationship Id="rId23" Type="http://schemas.openxmlformats.org/officeDocument/2006/relationships/hyperlink" Target="http://www.ncbi.nlm.nih.gov/pubmed?term=Simon%20E%5BAuthor%5D&amp;cauthor=true&amp;cauthor_uid=10353656" TargetMode="External"/><Relationship Id="rId10" Type="http://schemas.openxmlformats.org/officeDocument/2006/relationships/hyperlink" Target="http://www.ncbi.nlm.nih.gov/pubmed?term=Kleverlaan%20CJ%5BAuthor%5D&amp;cauthor=true&amp;cauthor_uid=15904699" TargetMode="External"/><Relationship Id="rId19" Type="http://schemas.openxmlformats.org/officeDocument/2006/relationships/hyperlink" Target="http://www.ncbi.nlm.nih.gov/pubmed?term=Milleding%20P%5BAuthor%5D&amp;cauthor=true&amp;cauthor_uid=10353656" TargetMode="External"/><Relationship Id="rId4" Type="http://schemas.openxmlformats.org/officeDocument/2006/relationships/hyperlink" Target="http://www.ncbi.nlm.nih.gov/pubmed?term=Wang%20F%5BAuthor%5D&amp;cauthor=true&amp;cauthor_uid=23849609" TargetMode="External"/><Relationship Id="rId9" Type="http://schemas.openxmlformats.org/officeDocument/2006/relationships/hyperlink" Target="http://www.ncbi.nlm.nih.gov/pubmed?term=Isgr&#242;%20G%5BAuthor%5D&amp;cauthor=true&amp;cauthor_uid=15904699" TargetMode="External"/><Relationship Id="rId14" Type="http://schemas.openxmlformats.org/officeDocument/2006/relationships/hyperlink" Target="http://www.fsb.hr/zavod_za_materijale/download/1355a7df5d2bc1e31382434a65624b6a.pdf" TargetMode="External"/><Relationship Id="rId22" Type="http://schemas.openxmlformats.org/officeDocument/2006/relationships/hyperlink" Target="http://www.ncbi.nlm.nih.gov/pubmed?term=Karlsson%20S%5BAuthor%5D&amp;cauthor=true&amp;cauthor_uid=103536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4234</Words>
  <Characters>24390</Characters>
  <Application>Microsoft Office Word</Application>
  <DocSecurity>0</DocSecurity>
  <Lines>348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Kaurić</dc:creator>
  <cp:lastModifiedBy>Prof.dr.sc. Ketij Mehulić</cp:lastModifiedBy>
  <cp:revision>6</cp:revision>
  <dcterms:created xsi:type="dcterms:W3CDTF">2014-12-24T08:49:00Z</dcterms:created>
  <dcterms:modified xsi:type="dcterms:W3CDTF">2014-12-24T09:54:00Z</dcterms:modified>
</cp:coreProperties>
</file>