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8C" w:rsidRDefault="00EF468C" w:rsidP="00EF468C">
      <w:pPr>
        <w:outlineLvl w:val="0"/>
        <w:rPr>
          <w:b/>
          <w:lang w:val="en-US"/>
        </w:rPr>
      </w:pPr>
      <w:r>
        <w:rPr>
          <w:b/>
          <w:lang w:val="en-US"/>
        </w:rPr>
        <w:t>TITLE</w:t>
      </w:r>
      <w:bookmarkStart w:id="0" w:name="_GoBack"/>
      <w:bookmarkEnd w:id="0"/>
    </w:p>
    <w:p w:rsidR="00EF468C" w:rsidRDefault="00EF468C" w:rsidP="00EF468C">
      <w:pPr>
        <w:rPr>
          <w:lang w:val="en-US"/>
        </w:rPr>
      </w:pPr>
    </w:p>
    <w:p w:rsidR="00EF468C" w:rsidRDefault="00EF468C" w:rsidP="00EF468C">
      <w:pPr>
        <w:spacing w:line="480" w:lineRule="auto"/>
        <w:rPr>
          <w:lang w:val="en-US"/>
        </w:rPr>
      </w:pPr>
      <w:r>
        <w:rPr>
          <w:lang w:val="en-US"/>
        </w:rPr>
        <w:t>Perceived parent and peer alienation and its relations to anxiety sensitivity, pathological worry and generalized anxiety disorder symptoms</w:t>
      </w:r>
    </w:p>
    <w:p w:rsidR="00EF468C" w:rsidRDefault="00EF468C" w:rsidP="00EF468C">
      <w:pPr>
        <w:spacing w:line="480" w:lineRule="auto"/>
        <w:outlineLvl w:val="0"/>
        <w:rPr>
          <w:b/>
          <w:lang w:val="en-US"/>
        </w:rPr>
      </w:pPr>
    </w:p>
    <w:p w:rsidR="00EF468C" w:rsidRDefault="00EF468C" w:rsidP="00EF468C">
      <w:pPr>
        <w:spacing w:line="480" w:lineRule="auto"/>
        <w:outlineLvl w:val="0"/>
        <w:rPr>
          <w:b/>
          <w:lang w:val="en-US"/>
        </w:rPr>
      </w:pPr>
      <w:r>
        <w:rPr>
          <w:b/>
          <w:lang w:val="en-US"/>
        </w:rPr>
        <w:t>RUNNING HEAD</w:t>
      </w:r>
    </w:p>
    <w:p w:rsidR="00EF468C" w:rsidRDefault="00EF468C" w:rsidP="00EF468C">
      <w:pPr>
        <w:spacing w:line="480" w:lineRule="auto"/>
        <w:outlineLvl w:val="0"/>
        <w:rPr>
          <w:lang w:val="en-US"/>
        </w:rPr>
      </w:pPr>
      <w:r>
        <w:rPr>
          <w:lang w:val="en-US"/>
        </w:rPr>
        <w:t>Peer alienation and psychopathology</w:t>
      </w:r>
    </w:p>
    <w:p w:rsidR="00EF468C" w:rsidRDefault="00EF468C" w:rsidP="00EF468C">
      <w:pPr>
        <w:outlineLvl w:val="0"/>
        <w:rPr>
          <w:b/>
          <w:lang w:val="en-US"/>
        </w:rPr>
      </w:pPr>
    </w:p>
    <w:p w:rsidR="00EF468C" w:rsidRDefault="00EF468C" w:rsidP="00EF468C">
      <w:pPr>
        <w:outlineLvl w:val="0"/>
        <w:rPr>
          <w:b/>
          <w:lang w:val="en-US"/>
        </w:rPr>
      </w:pPr>
      <w:r>
        <w:rPr>
          <w:b/>
          <w:lang w:val="en-US"/>
        </w:rPr>
        <w:t>AUTORS NAMES and AFFILIATIONS</w:t>
      </w:r>
    </w:p>
    <w:p w:rsidR="00EF468C" w:rsidRDefault="00EF468C" w:rsidP="00EF468C">
      <w:pPr>
        <w:jc w:val="center"/>
        <w:rPr>
          <w:b/>
          <w:lang w:val="en-US"/>
        </w:rPr>
      </w:pPr>
    </w:p>
    <w:p w:rsidR="00EF468C" w:rsidRDefault="00EF468C" w:rsidP="00EF468C">
      <w:pPr>
        <w:outlineLvl w:val="0"/>
        <w:rPr>
          <w:vertAlign w:val="superscript"/>
          <w:lang w:val="en-US"/>
        </w:rPr>
      </w:pPr>
      <w:r>
        <w:rPr>
          <w:b/>
          <w:lang w:val="en-US"/>
        </w:rPr>
        <w:t>Doris Curzik</w:t>
      </w:r>
      <w:r>
        <w:rPr>
          <w:vertAlign w:val="superscript"/>
          <w:lang w:val="en-US"/>
        </w:rPr>
        <w:t>1</w:t>
      </w:r>
    </w:p>
    <w:p w:rsidR="00EF468C" w:rsidRDefault="00EF468C" w:rsidP="00EF468C">
      <w:pPr>
        <w:rPr>
          <w:lang w:val="en-US"/>
        </w:rPr>
      </w:pPr>
      <w:r>
        <w:rPr>
          <w:vertAlign w:val="superscript"/>
          <w:lang w:val="en-US"/>
        </w:rPr>
        <w:t>1</w:t>
      </w:r>
      <w:r>
        <w:rPr>
          <w:lang w:val="en-US"/>
        </w:rPr>
        <w:t xml:space="preserve">University of Zagreb, Student Counselling and Support Centre, </w:t>
      </w:r>
      <w:proofErr w:type="spellStart"/>
      <w:r>
        <w:rPr>
          <w:lang w:val="en-US"/>
        </w:rPr>
        <w:t>Trg</w:t>
      </w:r>
      <w:proofErr w:type="spellEnd"/>
      <w:r>
        <w:rPr>
          <w:lang w:val="en-US"/>
        </w:rPr>
        <w:t xml:space="preserve"> </w:t>
      </w:r>
      <w:proofErr w:type="gramStart"/>
      <w:r>
        <w:rPr>
          <w:lang w:val="en-US"/>
        </w:rPr>
        <w:t>marsala</w:t>
      </w:r>
      <w:proofErr w:type="gramEnd"/>
      <w:r>
        <w:rPr>
          <w:lang w:val="en-US"/>
        </w:rPr>
        <w:t xml:space="preserve"> </w:t>
      </w:r>
      <w:proofErr w:type="spellStart"/>
      <w:r>
        <w:rPr>
          <w:lang w:val="en-US"/>
        </w:rPr>
        <w:t>Tita</w:t>
      </w:r>
      <w:proofErr w:type="spellEnd"/>
      <w:r>
        <w:rPr>
          <w:lang w:val="en-US"/>
        </w:rPr>
        <w:t xml:space="preserve"> 14, 10 000 Zagreb, CROATIA</w:t>
      </w:r>
    </w:p>
    <w:p w:rsidR="00EF468C" w:rsidRDefault="00EF468C" w:rsidP="00EF468C">
      <w:pPr>
        <w:rPr>
          <w:lang w:val="en-US"/>
        </w:rPr>
      </w:pPr>
    </w:p>
    <w:p w:rsidR="00EF468C" w:rsidRDefault="00EF468C" w:rsidP="00EF468C">
      <w:pPr>
        <w:outlineLvl w:val="0"/>
        <w:rPr>
          <w:vertAlign w:val="superscript"/>
          <w:lang w:val="en-US"/>
        </w:rPr>
      </w:pPr>
      <w:r>
        <w:rPr>
          <w:b/>
          <w:lang w:val="en-US"/>
        </w:rPr>
        <w:t>Svjetlana Salkicevic</w:t>
      </w:r>
      <w:r>
        <w:rPr>
          <w:vertAlign w:val="superscript"/>
          <w:lang w:val="en-US"/>
        </w:rPr>
        <w:t>2</w:t>
      </w:r>
    </w:p>
    <w:p w:rsidR="00EF468C" w:rsidRDefault="00EF468C" w:rsidP="00EF468C">
      <w:pPr>
        <w:rPr>
          <w:lang w:val="en-US"/>
        </w:rPr>
      </w:pPr>
      <w:r>
        <w:rPr>
          <w:vertAlign w:val="superscript"/>
          <w:lang w:val="en-US"/>
        </w:rPr>
        <w:t>2</w:t>
      </w:r>
      <w:r>
        <w:rPr>
          <w:lang w:val="en-US"/>
        </w:rPr>
        <w:t xml:space="preserve">University of Zagreb, Department of Psychology, I. </w:t>
      </w:r>
      <w:proofErr w:type="spellStart"/>
      <w:r>
        <w:rPr>
          <w:lang w:val="en-US"/>
        </w:rPr>
        <w:t>Lucica</w:t>
      </w:r>
      <w:proofErr w:type="spellEnd"/>
      <w:r>
        <w:rPr>
          <w:lang w:val="en-US"/>
        </w:rPr>
        <w:t xml:space="preserve"> 3, 10 000 Zagreb, CROATIA</w:t>
      </w:r>
    </w:p>
    <w:p w:rsidR="00EF468C" w:rsidRDefault="00EF468C" w:rsidP="00EF468C">
      <w:pPr>
        <w:spacing w:line="480" w:lineRule="auto"/>
        <w:outlineLvl w:val="0"/>
        <w:rPr>
          <w:b/>
          <w:lang w:val="en-US"/>
        </w:rPr>
      </w:pPr>
    </w:p>
    <w:p w:rsidR="00EF468C" w:rsidRDefault="00EF468C" w:rsidP="00EF468C">
      <w:pPr>
        <w:spacing w:line="480" w:lineRule="auto"/>
        <w:outlineLvl w:val="0"/>
        <w:rPr>
          <w:b/>
          <w:lang w:val="en-US"/>
        </w:rPr>
      </w:pPr>
      <w:r>
        <w:rPr>
          <w:b/>
          <w:lang w:val="en-US"/>
        </w:rPr>
        <w:t>The institution where the research was conducted:</w:t>
      </w:r>
    </w:p>
    <w:p w:rsidR="00EF468C" w:rsidRDefault="00EF468C" w:rsidP="00EF468C">
      <w:pPr>
        <w:outlineLvl w:val="0"/>
        <w:rPr>
          <w:lang w:val="en-US"/>
        </w:rPr>
      </w:pPr>
      <w:r>
        <w:rPr>
          <w:lang w:val="en-US"/>
        </w:rPr>
        <w:t xml:space="preserve">University Psychiatric Clinic </w:t>
      </w:r>
      <w:proofErr w:type="spellStart"/>
      <w:r>
        <w:rPr>
          <w:lang w:val="en-US"/>
        </w:rPr>
        <w:t>Rebro</w:t>
      </w:r>
      <w:proofErr w:type="spellEnd"/>
      <w:r>
        <w:rPr>
          <w:lang w:val="en-US"/>
        </w:rPr>
        <w:t>, Clinical Hospital Centre Zagreb,</w:t>
      </w:r>
    </w:p>
    <w:p w:rsidR="00EF468C" w:rsidRDefault="00EF468C" w:rsidP="00EF468C">
      <w:pPr>
        <w:outlineLvl w:val="0"/>
        <w:rPr>
          <w:b/>
          <w:lang w:val="en-US"/>
        </w:rPr>
      </w:pPr>
      <w:proofErr w:type="spellStart"/>
      <w:r>
        <w:rPr>
          <w:lang w:val="en-US"/>
        </w:rPr>
        <w:t>Kispaticeva</w:t>
      </w:r>
      <w:proofErr w:type="spellEnd"/>
      <w:r>
        <w:rPr>
          <w:lang w:val="en-US"/>
        </w:rPr>
        <w:t xml:space="preserve"> 12, 10 000 Zagreb, Croatia</w:t>
      </w:r>
      <w:r>
        <w:rPr>
          <w:b/>
          <w:lang w:val="en-US"/>
        </w:rPr>
        <w:t xml:space="preserve"> </w:t>
      </w:r>
    </w:p>
    <w:p w:rsidR="00EF468C" w:rsidRDefault="00EF468C" w:rsidP="00EF468C">
      <w:pPr>
        <w:rPr>
          <w:b/>
          <w:lang w:val="en-US"/>
        </w:rPr>
      </w:pPr>
    </w:p>
    <w:p w:rsidR="00EF468C" w:rsidRDefault="00EF468C" w:rsidP="00EF468C">
      <w:pPr>
        <w:rPr>
          <w:b/>
          <w:lang w:val="en-US"/>
        </w:rPr>
      </w:pPr>
    </w:p>
    <w:p w:rsidR="00EF468C" w:rsidRDefault="00EF468C" w:rsidP="00EF468C">
      <w:pPr>
        <w:outlineLvl w:val="0"/>
        <w:rPr>
          <w:b/>
          <w:lang w:val="en-US"/>
        </w:rPr>
      </w:pPr>
      <w:r>
        <w:rPr>
          <w:b/>
          <w:lang w:val="en-US"/>
        </w:rPr>
        <w:t>CORRESPONDING AUTHOR</w:t>
      </w:r>
    </w:p>
    <w:p w:rsidR="00EF468C" w:rsidRDefault="00EF468C" w:rsidP="00EF468C">
      <w:pPr>
        <w:rPr>
          <w:b/>
          <w:lang w:val="en-US"/>
        </w:rPr>
      </w:pPr>
    </w:p>
    <w:p w:rsidR="00EF468C" w:rsidRDefault="00EF468C" w:rsidP="00EF468C">
      <w:pPr>
        <w:outlineLvl w:val="0"/>
        <w:rPr>
          <w:lang w:val="en-US"/>
        </w:rPr>
      </w:pPr>
      <w:r>
        <w:rPr>
          <w:lang w:val="en-US"/>
        </w:rPr>
        <w:t>Mrs. Doris Curzik, MS (psych), PhD candidate</w:t>
      </w:r>
    </w:p>
    <w:p w:rsidR="00EF468C" w:rsidRDefault="00EF468C" w:rsidP="00EF468C">
      <w:pPr>
        <w:rPr>
          <w:lang w:val="en-US"/>
        </w:rPr>
      </w:pPr>
    </w:p>
    <w:p w:rsidR="00EF468C" w:rsidRDefault="00EF468C" w:rsidP="00EF468C">
      <w:pPr>
        <w:spacing w:line="480" w:lineRule="auto"/>
        <w:outlineLvl w:val="0"/>
        <w:rPr>
          <w:lang w:val="en-US"/>
        </w:rPr>
      </w:pPr>
      <w:r>
        <w:rPr>
          <w:lang w:val="en-US"/>
        </w:rPr>
        <w:t xml:space="preserve">University of Zagreb </w:t>
      </w:r>
    </w:p>
    <w:p w:rsidR="00EF468C" w:rsidRDefault="00EF468C" w:rsidP="00EF468C">
      <w:pPr>
        <w:spacing w:line="480" w:lineRule="auto"/>
        <w:rPr>
          <w:lang w:val="en-US"/>
        </w:rPr>
      </w:pPr>
      <w:r>
        <w:rPr>
          <w:lang w:val="en-US"/>
        </w:rPr>
        <w:t xml:space="preserve">Student Counselling and Support Centre, </w:t>
      </w:r>
    </w:p>
    <w:p w:rsidR="00EF468C" w:rsidRDefault="00EF468C" w:rsidP="00EF468C">
      <w:pPr>
        <w:spacing w:line="480" w:lineRule="auto"/>
        <w:rPr>
          <w:lang w:val="pl-PL"/>
        </w:rPr>
      </w:pPr>
      <w:r>
        <w:rPr>
          <w:lang w:val="pl-PL"/>
        </w:rPr>
        <w:t>Trg marsala Tita 14, 10 000 Zagreb, CROATIA</w:t>
      </w:r>
    </w:p>
    <w:p w:rsidR="00EF468C" w:rsidRDefault="00EF468C" w:rsidP="00EF468C">
      <w:pPr>
        <w:spacing w:line="480" w:lineRule="auto"/>
        <w:rPr>
          <w:lang w:val="pl-PL"/>
        </w:rPr>
      </w:pPr>
      <w:r>
        <w:rPr>
          <w:lang w:val="en-US"/>
        </w:rPr>
        <w:fldChar w:fldCharType="begin"/>
      </w:r>
      <w:r>
        <w:rPr>
          <w:lang w:val="en-US"/>
        </w:rPr>
        <w:instrText xml:space="preserve"> HYPERLINK "mailto:doriscrzk@yahoo.co.uk" </w:instrText>
      </w:r>
      <w:r>
        <w:rPr>
          <w:lang w:val="en-US"/>
        </w:rPr>
        <w:fldChar w:fldCharType="separate"/>
      </w:r>
      <w:r>
        <w:rPr>
          <w:rStyle w:val="Hyperlink"/>
          <w:lang w:val="pl-PL"/>
        </w:rPr>
        <w:t>doriscrzk@yahoo.co.uk</w:t>
      </w:r>
      <w:r>
        <w:rPr>
          <w:lang w:val="en-US"/>
        </w:rPr>
        <w:fldChar w:fldCharType="end"/>
      </w:r>
    </w:p>
    <w:p w:rsidR="00EF468C" w:rsidRDefault="00EF468C" w:rsidP="00EF468C">
      <w:pPr>
        <w:spacing w:line="480" w:lineRule="auto"/>
        <w:rPr>
          <w:lang w:val="en-US"/>
        </w:rPr>
      </w:pPr>
      <w:r>
        <w:rPr>
          <w:lang w:val="en-US"/>
        </w:rPr>
        <w:t>Tel. +385 1 4564 117</w:t>
      </w:r>
    </w:p>
    <w:p w:rsidR="00EF468C" w:rsidRDefault="00EF468C" w:rsidP="00EF468C">
      <w:pPr>
        <w:spacing w:line="480" w:lineRule="auto"/>
        <w:rPr>
          <w:lang w:val="en-US"/>
        </w:rPr>
      </w:pPr>
      <w:proofErr w:type="gramStart"/>
      <w:r>
        <w:rPr>
          <w:lang w:val="en-US"/>
        </w:rPr>
        <w:t>Fax.</w:t>
      </w:r>
      <w:proofErr w:type="gramEnd"/>
      <w:r>
        <w:rPr>
          <w:lang w:val="en-US"/>
        </w:rPr>
        <w:t xml:space="preserve"> +385 1 4564 208</w:t>
      </w:r>
    </w:p>
    <w:p w:rsidR="00DC68F0" w:rsidRPr="00EF468C" w:rsidRDefault="00DC68F0" w:rsidP="00C37BC6">
      <w:pPr>
        <w:outlineLvl w:val="0"/>
        <w:rPr>
          <w:b/>
          <w:lang w:val="en-AU"/>
        </w:rPr>
      </w:pPr>
      <w:r w:rsidRPr="00EF468C">
        <w:rPr>
          <w:b/>
          <w:lang w:val="en-AU"/>
        </w:rPr>
        <w:t>TITLE</w:t>
      </w:r>
    </w:p>
    <w:p w:rsidR="00DC68F0" w:rsidRPr="00EF468C" w:rsidRDefault="00DC68F0" w:rsidP="00DC68F0">
      <w:pPr>
        <w:rPr>
          <w:lang w:val="en-AU"/>
        </w:rPr>
      </w:pPr>
    </w:p>
    <w:p w:rsidR="00DC68F0" w:rsidRPr="00EF468C" w:rsidRDefault="00DC68F0" w:rsidP="00DC68F0">
      <w:pPr>
        <w:spacing w:line="480" w:lineRule="auto"/>
        <w:rPr>
          <w:lang w:val="en-AU"/>
        </w:rPr>
      </w:pPr>
      <w:r w:rsidRPr="00EF468C">
        <w:rPr>
          <w:lang w:val="en-AU"/>
        </w:rPr>
        <w:lastRenderedPageBreak/>
        <w:t>Perceived parent and peer alienation and its relations to anxiety sensitivity, pathological worry and generalized anxiety disorder symptoms</w:t>
      </w:r>
    </w:p>
    <w:p w:rsidR="003A41C8" w:rsidRPr="00EF468C" w:rsidRDefault="003A41C8" w:rsidP="00C37BC6">
      <w:pPr>
        <w:outlineLvl w:val="0"/>
        <w:rPr>
          <w:b/>
          <w:lang w:val="en-AU"/>
        </w:rPr>
      </w:pPr>
      <w:r w:rsidRPr="00EF468C">
        <w:rPr>
          <w:b/>
          <w:lang w:val="en-AU"/>
        </w:rPr>
        <w:t>ABSTRACT</w:t>
      </w:r>
    </w:p>
    <w:p w:rsidR="003A41C8" w:rsidRPr="00EF468C" w:rsidRDefault="003A41C8" w:rsidP="003A41C8">
      <w:pPr>
        <w:rPr>
          <w:b/>
          <w:lang w:val="en-AU"/>
        </w:rPr>
      </w:pPr>
    </w:p>
    <w:p w:rsidR="003A41C8" w:rsidRPr="00EF468C" w:rsidRDefault="00AE4D4E" w:rsidP="003A41C8">
      <w:pPr>
        <w:autoSpaceDE w:val="0"/>
        <w:autoSpaceDN w:val="0"/>
        <w:adjustRightInd w:val="0"/>
        <w:spacing w:line="480" w:lineRule="auto"/>
        <w:jc w:val="both"/>
        <w:rPr>
          <w:b/>
          <w:bCs/>
          <w:lang w:val="en-AU"/>
        </w:rPr>
      </w:pPr>
      <w:r w:rsidRPr="00EF468C">
        <w:rPr>
          <w:b/>
          <w:bCs/>
          <w:lang w:val="en-AU"/>
        </w:rPr>
        <w:t>Objective</w:t>
      </w:r>
      <w:r w:rsidR="003A41C8" w:rsidRPr="00EF468C">
        <w:rPr>
          <w:b/>
          <w:bCs/>
          <w:lang w:val="en-AU"/>
        </w:rPr>
        <w:t>:</w:t>
      </w:r>
      <w:r w:rsidR="003A41C8" w:rsidRPr="00EF468C">
        <w:rPr>
          <w:lang w:val="en-AU"/>
        </w:rPr>
        <w:t xml:space="preserve"> Studies have only recently begun to explore the role of interpersonal factors in relation to anxiety sensitivity, a trait that has been hypothesized as a risk factor for the development of anxiety disorders. </w:t>
      </w:r>
      <w:r w:rsidR="007F5551" w:rsidRPr="00EF468C">
        <w:rPr>
          <w:lang w:val="en-AU"/>
        </w:rPr>
        <w:t xml:space="preserve">Therefore, the </w:t>
      </w:r>
      <w:r w:rsidR="003A41C8" w:rsidRPr="00EF468C">
        <w:rPr>
          <w:lang w:val="en-AU"/>
        </w:rPr>
        <w:t>goal</w:t>
      </w:r>
      <w:r w:rsidR="007F5551" w:rsidRPr="00EF468C">
        <w:rPr>
          <w:lang w:val="en-AU"/>
        </w:rPr>
        <w:t xml:space="preserve"> of this research</w:t>
      </w:r>
      <w:r w:rsidR="003A41C8" w:rsidRPr="00EF468C">
        <w:rPr>
          <w:lang w:val="en-AU"/>
        </w:rPr>
        <w:t xml:space="preserve"> was to further investigate the relations between </w:t>
      </w:r>
      <w:r w:rsidR="00262BFC" w:rsidRPr="00EF468C">
        <w:rPr>
          <w:lang w:val="en-AU"/>
        </w:rPr>
        <w:t>anxiety sensitivity</w:t>
      </w:r>
      <w:r w:rsidR="003A41C8" w:rsidRPr="00EF468C">
        <w:rPr>
          <w:lang w:val="en-AU"/>
        </w:rPr>
        <w:t xml:space="preserve">, worry, </w:t>
      </w:r>
      <w:r w:rsidR="00262BFC" w:rsidRPr="00EF468C">
        <w:rPr>
          <w:lang w:val="en-AU"/>
        </w:rPr>
        <w:t xml:space="preserve">generalized anxiety disorder </w:t>
      </w:r>
      <w:r w:rsidR="003A41C8" w:rsidRPr="00EF468C">
        <w:rPr>
          <w:lang w:val="en-AU"/>
        </w:rPr>
        <w:t>symptoms and parent and peer attachment, more specifically – perceived parent and peer alienation on a clinical sample</w:t>
      </w:r>
      <w:r w:rsidR="00637610" w:rsidRPr="00EF468C">
        <w:rPr>
          <w:lang w:val="en-AU"/>
        </w:rPr>
        <w:t xml:space="preserve"> for the first time</w:t>
      </w:r>
      <w:r w:rsidR="003A41C8" w:rsidRPr="00EF468C">
        <w:rPr>
          <w:lang w:val="en-AU"/>
        </w:rPr>
        <w:t xml:space="preserve">. The mediating role of </w:t>
      </w:r>
      <w:r w:rsidR="00262BFC" w:rsidRPr="00EF468C">
        <w:rPr>
          <w:lang w:val="en-AU"/>
        </w:rPr>
        <w:t>anxiety sensitivity</w:t>
      </w:r>
      <w:r w:rsidR="003A41C8" w:rsidRPr="00EF468C">
        <w:rPr>
          <w:lang w:val="en-AU"/>
        </w:rPr>
        <w:t xml:space="preserve"> between perceptions of alienation and current worry and </w:t>
      </w:r>
      <w:r w:rsidR="00262BFC" w:rsidRPr="00EF468C">
        <w:rPr>
          <w:lang w:val="en-AU"/>
        </w:rPr>
        <w:t>generalized anxiety disorder</w:t>
      </w:r>
      <w:r w:rsidR="003A41C8" w:rsidRPr="00EF468C">
        <w:rPr>
          <w:lang w:val="en-AU"/>
        </w:rPr>
        <w:t xml:space="preserve"> symptoms was also examined. </w:t>
      </w:r>
      <w:r w:rsidR="003A41C8" w:rsidRPr="00EF468C">
        <w:rPr>
          <w:b/>
          <w:bCs/>
          <w:lang w:val="en-AU"/>
        </w:rPr>
        <w:t>Methods:</w:t>
      </w:r>
      <w:r w:rsidR="003A41C8" w:rsidRPr="00EF468C">
        <w:rPr>
          <w:lang w:val="en-AU"/>
        </w:rPr>
        <w:t xml:space="preserve"> </w:t>
      </w:r>
      <w:r w:rsidR="004A0D13" w:rsidRPr="00EF468C">
        <w:rPr>
          <w:lang w:val="en-AU"/>
        </w:rPr>
        <w:t xml:space="preserve">Analyses were conducted on a </w:t>
      </w:r>
      <w:r w:rsidR="003E7BB8" w:rsidRPr="00EF468C">
        <w:rPr>
          <w:lang w:val="en-AU"/>
        </w:rPr>
        <w:t xml:space="preserve">total </w:t>
      </w:r>
      <w:r w:rsidR="004A0D13" w:rsidRPr="00EF468C">
        <w:rPr>
          <w:lang w:val="en-AU"/>
        </w:rPr>
        <w:t>sample of 72</w:t>
      </w:r>
      <w:r w:rsidR="003A41C8" w:rsidRPr="00EF468C">
        <w:rPr>
          <w:lang w:val="en-AU"/>
        </w:rPr>
        <w:t xml:space="preserve"> psychiatric patients with diagnosed anxiety or depression disorder </w:t>
      </w:r>
      <w:proofErr w:type="gramStart"/>
      <w:r w:rsidR="003E7BB8" w:rsidRPr="00EF468C">
        <w:rPr>
          <w:lang w:val="en-AU"/>
        </w:rPr>
        <w:t>who</w:t>
      </w:r>
      <w:proofErr w:type="gramEnd"/>
      <w:r w:rsidR="003E7BB8" w:rsidRPr="00EF468C">
        <w:rPr>
          <w:lang w:val="en-AU"/>
        </w:rPr>
        <w:t xml:space="preserve"> </w:t>
      </w:r>
      <w:r w:rsidR="003A41C8" w:rsidRPr="00EF468C">
        <w:rPr>
          <w:lang w:val="en-AU"/>
        </w:rPr>
        <w:t>completed</w:t>
      </w:r>
      <w:r w:rsidR="004A0D13" w:rsidRPr="00EF468C">
        <w:rPr>
          <w:lang w:val="en-AU"/>
        </w:rPr>
        <w:t xml:space="preserve"> </w:t>
      </w:r>
      <w:r w:rsidR="003E7BB8" w:rsidRPr="00EF468C">
        <w:rPr>
          <w:lang w:val="en-AU"/>
        </w:rPr>
        <w:t xml:space="preserve">the </w:t>
      </w:r>
      <w:r w:rsidR="004A0D13" w:rsidRPr="00EF468C">
        <w:rPr>
          <w:i/>
          <w:lang w:val="en-AU"/>
        </w:rPr>
        <w:t xml:space="preserve">Generalized Anxiety Disorder Questionnaire-IV, Penn State Worry Questionnaire, Inventory of Parent and Peer attachment </w:t>
      </w:r>
      <w:r w:rsidR="004A0D13" w:rsidRPr="00EF468C">
        <w:rPr>
          <w:lang w:val="en-AU"/>
        </w:rPr>
        <w:t>and</w:t>
      </w:r>
      <w:r w:rsidR="004A0D13" w:rsidRPr="00EF468C">
        <w:rPr>
          <w:i/>
          <w:lang w:val="en-AU"/>
        </w:rPr>
        <w:t xml:space="preserve"> Anxiety Sensitivity Index.  </w:t>
      </w:r>
      <w:r w:rsidR="003E7BB8" w:rsidRPr="00EF468C">
        <w:rPr>
          <w:lang w:val="en-AU"/>
        </w:rPr>
        <w:t xml:space="preserve">All patients were Caucasian, and </w:t>
      </w:r>
      <w:r w:rsidR="004A0D13" w:rsidRPr="00EF468C">
        <w:rPr>
          <w:lang w:val="en-AU"/>
        </w:rPr>
        <w:t>48.6%</w:t>
      </w:r>
      <w:r w:rsidR="003E7BB8" w:rsidRPr="00EF468C">
        <w:rPr>
          <w:lang w:val="en-AU"/>
        </w:rPr>
        <w:t xml:space="preserve"> of</w:t>
      </w:r>
      <w:r w:rsidR="004A0D13" w:rsidRPr="00EF468C">
        <w:rPr>
          <w:lang w:val="en-AU"/>
        </w:rPr>
        <w:t xml:space="preserve"> participants were men (M</w:t>
      </w:r>
      <w:r w:rsidR="004A0D13" w:rsidRPr="00EF468C">
        <w:rPr>
          <w:vertAlign w:val="subscript"/>
          <w:lang w:val="en-AU"/>
        </w:rPr>
        <w:t>age</w:t>
      </w:r>
      <w:r w:rsidR="004A0D13" w:rsidRPr="00EF468C">
        <w:rPr>
          <w:lang w:val="en-AU"/>
        </w:rPr>
        <w:t>=44.2 years) and 51.2% were women (M</w:t>
      </w:r>
      <w:r w:rsidR="004A0D13" w:rsidRPr="00EF468C">
        <w:rPr>
          <w:vertAlign w:val="subscript"/>
          <w:lang w:val="en-AU"/>
        </w:rPr>
        <w:t>age</w:t>
      </w:r>
      <w:r w:rsidR="004A0D13" w:rsidRPr="00EF468C">
        <w:rPr>
          <w:lang w:val="en-AU"/>
        </w:rPr>
        <w:t xml:space="preserve">= 41.1 years). </w:t>
      </w:r>
      <w:r w:rsidR="003A41C8" w:rsidRPr="00EF468C">
        <w:rPr>
          <w:b/>
          <w:bCs/>
          <w:lang w:val="en-AU"/>
        </w:rPr>
        <w:t>Results:</w:t>
      </w:r>
      <w:r w:rsidR="003A41C8" w:rsidRPr="00EF468C">
        <w:rPr>
          <w:lang w:val="en-AU"/>
        </w:rPr>
        <w:t xml:space="preserve"> Participants with higher intensity of worry and </w:t>
      </w:r>
      <w:r w:rsidR="00262BFC" w:rsidRPr="00EF468C">
        <w:rPr>
          <w:lang w:val="en-AU"/>
        </w:rPr>
        <w:t>generalized anxiety disorder</w:t>
      </w:r>
      <w:r w:rsidR="003A41C8" w:rsidRPr="00EF468C">
        <w:rPr>
          <w:lang w:val="en-AU"/>
        </w:rPr>
        <w:t xml:space="preserve"> symptoms reported higher perceptions of being alienated only from their peers. Also, </w:t>
      </w:r>
      <w:r w:rsidR="00262BFC" w:rsidRPr="00EF468C">
        <w:rPr>
          <w:lang w:val="en-AU"/>
        </w:rPr>
        <w:t>anxiety sensitivity</w:t>
      </w:r>
      <w:r w:rsidR="003A41C8" w:rsidRPr="00EF468C">
        <w:rPr>
          <w:lang w:val="en-AU"/>
        </w:rPr>
        <w:t xml:space="preserve"> mediated the relation between perceptions of </w:t>
      </w:r>
      <w:r w:rsidR="00262BFC" w:rsidRPr="00EF468C">
        <w:rPr>
          <w:lang w:val="en-AU"/>
        </w:rPr>
        <w:t xml:space="preserve">alienation from peers and </w:t>
      </w:r>
      <w:proofErr w:type="gramStart"/>
      <w:r w:rsidR="00262BFC" w:rsidRPr="00EF468C">
        <w:rPr>
          <w:lang w:val="en-AU"/>
        </w:rPr>
        <w:t>worry</w:t>
      </w:r>
      <w:proofErr w:type="gramEnd"/>
      <w:r w:rsidR="00262BFC" w:rsidRPr="00EF468C">
        <w:rPr>
          <w:lang w:val="en-AU"/>
        </w:rPr>
        <w:t xml:space="preserve"> </w:t>
      </w:r>
      <w:r w:rsidR="003A41C8" w:rsidRPr="00EF468C">
        <w:rPr>
          <w:lang w:val="en-AU"/>
        </w:rPr>
        <w:t xml:space="preserve">and </w:t>
      </w:r>
      <w:r w:rsidR="00262BFC" w:rsidRPr="00EF468C">
        <w:rPr>
          <w:lang w:val="en-AU"/>
        </w:rPr>
        <w:t>generalized anxiety disorder</w:t>
      </w:r>
      <w:r w:rsidR="003A41C8" w:rsidRPr="00EF468C">
        <w:rPr>
          <w:lang w:val="en-AU"/>
        </w:rPr>
        <w:t xml:space="preserve"> symptoms. </w:t>
      </w:r>
      <w:r w:rsidR="003A41C8" w:rsidRPr="00EF468C">
        <w:rPr>
          <w:b/>
          <w:bCs/>
          <w:lang w:val="en-AU"/>
        </w:rPr>
        <w:t>Conclusion:</w:t>
      </w:r>
      <w:r w:rsidR="003A41C8" w:rsidRPr="00EF468C">
        <w:rPr>
          <w:bCs/>
          <w:lang w:val="en-AU"/>
        </w:rPr>
        <w:t xml:space="preserve"> Perceptions of peer rather than parent alienation appear to be a salient construct in relation to present levels of</w:t>
      </w:r>
      <w:r w:rsidR="003122A0" w:rsidRPr="00EF468C">
        <w:rPr>
          <w:bCs/>
          <w:lang w:val="en-AU"/>
        </w:rPr>
        <w:t xml:space="preserve"> anxiety sensitivity,</w:t>
      </w:r>
      <w:r w:rsidR="003A41C8" w:rsidRPr="00EF468C">
        <w:rPr>
          <w:bCs/>
          <w:lang w:val="en-AU"/>
        </w:rPr>
        <w:t xml:space="preserve"> uncontrollable worry and </w:t>
      </w:r>
      <w:r w:rsidR="00262BFC" w:rsidRPr="00EF468C">
        <w:rPr>
          <w:lang w:val="en-AU"/>
        </w:rPr>
        <w:t>generalized anxiety disorder</w:t>
      </w:r>
      <w:r w:rsidR="003A41C8" w:rsidRPr="00EF468C">
        <w:rPr>
          <w:bCs/>
          <w:lang w:val="en-AU"/>
        </w:rPr>
        <w:t xml:space="preserve"> symptoms in individuals with a diagnosis of mental illness.</w:t>
      </w:r>
      <w:r w:rsidR="00084F18" w:rsidRPr="00EF468C">
        <w:rPr>
          <w:bCs/>
          <w:lang w:val="en-AU"/>
        </w:rPr>
        <w:t xml:space="preserve"> Implic</w:t>
      </w:r>
      <w:r w:rsidR="00244E27" w:rsidRPr="00EF468C">
        <w:rPr>
          <w:bCs/>
          <w:lang w:val="en-AU"/>
        </w:rPr>
        <w:t xml:space="preserve">ations for </w:t>
      </w:r>
      <w:r w:rsidR="00262BFC" w:rsidRPr="00EF468C">
        <w:rPr>
          <w:bCs/>
          <w:lang w:val="en-AU"/>
        </w:rPr>
        <w:t>cognitive-</w:t>
      </w:r>
      <w:proofErr w:type="spellStart"/>
      <w:r w:rsidR="00262BFC" w:rsidRPr="00EF468C">
        <w:rPr>
          <w:bCs/>
          <w:lang w:val="en-AU"/>
        </w:rPr>
        <w:t>behavioral</w:t>
      </w:r>
      <w:proofErr w:type="spellEnd"/>
      <w:r w:rsidR="00262BFC" w:rsidRPr="00EF468C">
        <w:rPr>
          <w:bCs/>
          <w:lang w:val="en-AU"/>
        </w:rPr>
        <w:t xml:space="preserve"> therapy</w:t>
      </w:r>
      <w:r w:rsidR="00244E27" w:rsidRPr="00EF468C">
        <w:rPr>
          <w:bCs/>
          <w:lang w:val="en-AU"/>
        </w:rPr>
        <w:t xml:space="preserve"> practitioners are </w:t>
      </w:r>
      <w:r w:rsidR="00084F18" w:rsidRPr="00EF468C">
        <w:rPr>
          <w:bCs/>
          <w:lang w:val="en-AU"/>
        </w:rPr>
        <w:t>also shortly discussed.</w:t>
      </w:r>
    </w:p>
    <w:p w:rsidR="003A41C8" w:rsidRPr="00EF468C" w:rsidRDefault="003A41C8" w:rsidP="003A41C8">
      <w:pPr>
        <w:rPr>
          <w:b/>
          <w:lang w:val="en-AU"/>
        </w:rPr>
      </w:pPr>
    </w:p>
    <w:p w:rsidR="003A41C8" w:rsidRPr="00EF468C" w:rsidRDefault="003A41C8" w:rsidP="001F73AE">
      <w:pPr>
        <w:outlineLvl w:val="0"/>
        <w:rPr>
          <w:b/>
          <w:lang w:val="en-AU"/>
        </w:rPr>
      </w:pPr>
      <w:r w:rsidRPr="00EF468C">
        <w:rPr>
          <w:b/>
          <w:lang w:val="en-AU"/>
        </w:rPr>
        <w:t xml:space="preserve">Key words: </w:t>
      </w:r>
      <w:r w:rsidRPr="00EF468C">
        <w:rPr>
          <w:lang w:val="en-AU"/>
        </w:rPr>
        <w:t xml:space="preserve">anxiety sensitivity, attachment, </w:t>
      </w:r>
      <w:r w:rsidR="003448CB" w:rsidRPr="00EF468C">
        <w:rPr>
          <w:lang w:val="en-AU"/>
        </w:rPr>
        <w:t xml:space="preserve">generalized anxiety disorder, </w:t>
      </w:r>
      <w:r w:rsidRPr="00EF468C">
        <w:rPr>
          <w:lang w:val="en-AU"/>
        </w:rPr>
        <w:t>peer alienation, worry.</w:t>
      </w:r>
    </w:p>
    <w:p w:rsidR="003A41C8" w:rsidRPr="00EF468C" w:rsidRDefault="003A41C8" w:rsidP="003A41C8">
      <w:pPr>
        <w:spacing w:line="480" w:lineRule="auto"/>
        <w:jc w:val="both"/>
        <w:rPr>
          <w:b/>
          <w:lang w:val="en-AU"/>
        </w:rPr>
      </w:pPr>
    </w:p>
    <w:p w:rsidR="001015DD" w:rsidRPr="00EF468C" w:rsidRDefault="001015DD" w:rsidP="001015DD">
      <w:pPr>
        <w:widowControl w:val="0"/>
        <w:autoSpaceDE w:val="0"/>
        <w:autoSpaceDN w:val="0"/>
        <w:adjustRightInd w:val="0"/>
        <w:outlineLvl w:val="0"/>
        <w:rPr>
          <w:rFonts w:cs="Arial"/>
          <w:b/>
          <w:bCs/>
          <w:szCs w:val="36"/>
          <w:lang w:val="en-AU"/>
        </w:rPr>
      </w:pPr>
    </w:p>
    <w:p w:rsidR="001015DD" w:rsidRPr="00EF468C" w:rsidRDefault="001015DD" w:rsidP="001015DD">
      <w:pPr>
        <w:widowControl w:val="0"/>
        <w:autoSpaceDE w:val="0"/>
        <w:autoSpaceDN w:val="0"/>
        <w:adjustRightInd w:val="0"/>
        <w:outlineLvl w:val="0"/>
        <w:rPr>
          <w:rFonts w:cs="Arial"/>
          <w:b/>
          <w:bCs/>
          <w:szCs w:val="36"/>
          <w:lang w:val="en-AU"/>
        </w:rPr>
      </w:pPr>
    </w:p>
    <w:p w:rsidR="001015DD" w:rsidRPr="00EF468C" w:rsidRDefault="001015DD" w:rsidP="001015DD">
      <w:pPr>
        <w:widowControl w:val="0"/>
        <w:autoSpaceDE w:val="0"/>
        <w:autoSpaceDN w:val="0"/>
        <w:adjustRightInd w:val="0"/>
        <w:outlineLvl w:val="0"/>
        <w:rPr>
          <w:rFonts w:cs="Arial"/>
          <w:b/>
          <w:bCs/>
          <w:szCs w:val="36"/>
          <w:lang w:val="en-AU"/>
        </w:rPr>
      </w:pPr>
    </w:p>
    <w:p w:rsidR="001015DD" w:rsidRPr="00EF468C" w:rsidRDefault="001015DD" w:rsidP="001015DD">
      <w:pPr>
        <w:widowControl w:val="0"/>
        <w:autoSpaceDE w:val="0"/>
        <w:autoSpaceDN w:val="0"/>
        <w:adjustRightInd w:val="0"/>
        <w:outlineLvl w:val="0"/>
        <w:rPr>
          <w:rFonts w:cs="Arial"/>
          <w:b/>
          <w:bCs/>
          <w:szCs w:val="36"/>
          <w:lang w:val="en-AU"/>
        </w:rPr>
      </w:pPr>
    </w:p>
    <w:p w:rsidR="001015DD" w:rsidRPr="00EF468C" w:rsidRDefault="001015DD" w:rsidP="00C37BC6">
      <w:pPr>
        <w:widowControl w:val="0"/>
        <w:autoSpaceDE w:val="0"/>
        <w:autoSpaceDN w:val="0"/>
        <w:adjustRightInd w:val="0"/>
        <w:outlineLvl w:val="0"/>
        <w:rPr>
          <w:rFonts w:cs="Arial"/>
          <w:b/>
          <w:bCs/>
          <w:szCs w:val="36"/>
          <w:lang w:val="en-AU"/>
        </w:rPr>
      </w:pPr>
      <w:r w:rsidRPr="00EF468C">
        <w:rPr>
          <w:rFonts w:cs="Arial"/>
          <w:b/>
          <w:bCs/>
          <w:szCs w:val="36"/>
          <w:lang w:val="en-AU"/>
        </w:rPr>
        <w:t xml:space="preserve">What is already known on this </w:t>
      </w:r>
      <w:proofErr w:type="gramStart"/>
      <w:r w:rsidRPr="00EF468C">
        <w:rPr>
          <w:rFonts w:cs="Arial"/>
          <w:b/>
          <w:bCs/>
          <w:szCs w:val="36"/>
          <w:lang w:val="en-AU"/>
        </w:rPr>
        <w:t>topic</w:t>
      </w:r>
      <w:proofErr w:type="gramEnd"/>
    </w:p>
    <w:p w:rsidR="001015DD" w:rsidRPr="00EF468C" w:rsidRDefault="001015DD" w:rsidP="001015DD">
      <w:pPr>
        <w:widowControl w:val="0"/>
        <w:autoSpaceDE w:val="0"/>
        <w:autoSpaceDN w:val="0"/>
        <w:adjustRightInd w:val="0"/>
        <w:outlineLvl w:val="0"/>
        <w:rPr>
          <w:rFonts w:cs="Arial"/>
          <w:b/>
          <w:bCs/>
          <w:szCs w:val="36"/>
          <w:lang w:val="en-AU"/>
        </w:rPr>
      </w:pPr>
    </w:p>
    <w:p w:rsidR="001015DD" w:rsidRPr="00EF468C" w:rsidRDefault="001015DD" w:rsidP="001015DD">
      <w:pPr>
        <w:pStyle w:val="ListParagraph"/>
        <w:widowControl w:val="0"/>
        <w:numPr>
          <w:ilvl w:val="0"/>
          <w:numId w:val="3"/>
        </w:numPr>
        <w:autoSpaceDE w:val="0"/>
        <w:autoSpaceDN w:val="0"/>
        <w:adjustRightInd w:val="0"/>
        <w:outlineLvl w:val="0"/>
        <w:rPr>
          <w:rFonts w:ascii="Times New Roman" w:hAnsi="Times New Roman"/>
          <w:lang w:val="en-AU"/>
        </w:rPr>
      </w:pPr>
      <w:r w:rsidRPr="00EF468C">
        <w:rPr>
          <w:rFonts w:ascii="Times New Roman" w:hAnsi="Times New Roman"/>
          <w:lang w:val="en-AU"/>
        </w:rPr>
        <w:t>Lack of secure attachment and deficiencies of social networks present relevant interpersonal variables for development of generalized anxiety disorder (GAD) symptoms and anxiety sensitivity (AS).</w:t>
      </w:r>
    </w:p>
    <w:p w:rsidR="001015DD" w:rsidRPr="00EF468C" w:rsidRDefault="001015DD" w:rsidP="001015DD">
      <w:pPr>
        <w:pStyle w:val="ListParagraph"/>
        <w:widowControl w:val="0"/>
        <w:autoSpaceDE w:val="0"/>
        <w:autoSpaceDN w:val="0"/>
        <w:adjustRightInd w:val="0"/>
        <w:outlineLvl w:val="0"/>
        <w:rPr>
          <w:rFonts w:ascii="Times New Roman" w:hAnsi="Times New Roman"/>
          <w:lang w:val="en-AU"/>
        </w:rPr>
      </w:pPr>
    </w:p>
    <w:p w:rsidR="001015DD" w:rsidRPr="00EF468C" w:rsidRDefault="001015DD" w:rsidP="001015DD">
      <w:pPr>
        <w:pStyle w:val="ListParagraph"/>
        <w:widowControl w:val="0"/>
        <w:numPr>
          <w:ilvl w:val="0"/>
          <w:numId w:val="3"/>
        </w:numPr>
        <w:autoSpaceDE w:val="0"/>
        <w:autoSpaceDN w:val="0"/>
        <w:adjustRightInd w:val="0"/>
        <w:outlineLvl w:val="0"/>
        <w:rPr>
          <w:rFonts w:ascii="Times New Roman" w:hAnsi="Times New Roman" w:cs="Arial"/>
          <w:b/>
          <w:bCs/>
          <w:szCs w:val="36"/>
          <w:lang w:val="en-AU"/>
        </w:rPr>
      </w:pPr>
      <w:r w:rsidRPr="00EF468C">
        <w:rPr>
          <w:rFonts w:ascii="Times New Roman" w:hAnsi="Times New Roman"/>
          <w:lang w:val="en-AU"/>
        </w:rPr>
        <w:t>In GAD diagnosed individuals some facets of AS are significantly elevated compared to individuals with other anxiety diagnoses.</w:t>
      </w:r>
    </w:p>
    <w:p w:rsidR="001015DD" w:rsidRPr="00EF468C" w:rsidRDefault="001015DD" w:rsidP="001015DD">
      <w:pPr>
        <w:pStyle w:val="ListParagraph"/>
        <w:widowControl w:val="0"/>
        <w:autoSpaceDE w:val="0"/>
        <w:autoSpaceDN w:val="0"/>
        <w:adjustRightInd w:val="0"/>
        <w:outlineLvl w:val="0"/>
        <w:rPr>
          <w:rFonts w:ascii="Times New Roman" w:hAnsi="Times New Roman" w:cs="Arial"/>
          <w:b/>
          <w:bCs/>
          <w:szCs w:val="36"/>
          <w:lang w:val="en-AU"/>
        </w:rPr>
      </w:pPr>
    </w:p>
    <w:p w:rsidR="001015DD" w:rsidRPr="00EF468C" w:rsidRDefault="001015DD" w:rsidP="001015DD">
      <w:pPr>
        <w:pStyle w:val="ListParagraph"/>
        <w:widowControl w:val="0"/>
        <w:numPr>
          <w:ilvl w:val="0"/>
          <w:numId w:val="3"/>
        </w:numPr>
        <w:autoSpaceDE w:val="0"/>
        <w:autoSpaceDN w:val="0"/>
        <w:adjustRightInd w:val="0"/>
        <w:outlineLvl w:val="0"/>
        <w:rPr>
          <w:rFonts w:ascii="Times New Roman" w:hAnsi="Times New Roman" w:cs="Arial"/>
          <w:bCs/>
          <w:szCs w:val="36"/>
          <w:lang w:val="en-AU"/>
        </w:rPr>
      </w:pPr>
      <w:r w:rsidRPr="00EF468C">
        <w:rPr>
          <w:rFonts w:ascii="Times New Roman" w:hAnsi="Times New Roman" w:cs="Arial"/>
          <w:bCs/>
          <w:szCs w:val="36"/>
          <w:lang w:val="en-AU"/>
        </w:rPr>
        <w:t xml:space="preserve">In a single research on this subject so far, it’s been </w:t>
      </w:r>
      <w:r w:rsidRPr="00EF468C">
        <w:rPr>
          <w:rFonts w:ascii="Times New Roman" w:hAnsi="Times New Roman"/>
          <w:lang w:val="en-AU"/>
        </w:rPr>
        <w:t>reported that even after controlling for worry and GAD symptoms, greater perceptions of alienation from mothers and peers were significantly associated with higher AS symptoms.</w:t>
      </w:r>
    </w:p>
    <w:p w:rsidR="001015DD" w:rsidRPr="00EF468C" w:rsidRDefault="001015DD" w:rsidP="001015DD">
      <w:pPr>
        <w:widowControl w:val="0"/>
        <w:autoSpaceDE w:val="0"/>
        <w:autoSpaceDN w:val="0"/>
        <w:adjustRightInd w:val="0"/>
        <w:outlineLvl w:val="0"/>
        <w:rPr>
          <w:rFonts w:cs="Arial"/>
          <w:b/>
          <w:bCs/>
          <w:szCs w:val="36"/>
          <w:lang w:val="en-AU"/>
        </w:rPr>
      </w:pPr>
    </w:p>
    <w:p w:rsidR="001015DD" w:rsidRPr="00EF468C" w:rsidRDefault="001015DD" w:rsidP="00C37BC6">
      <w:pPr>
        <w:widowControl w:val="0"/>
        <w:autoSpaceDE w:val="0"/>
        <w:autoSpaceDN w:val="0"/>
        <w:adjustRightInd w:val="0"/>
        <w:outlineLvl w:val="0"/>
        <w:rPr>
          <w:rFonts w:cs="Arial"/>
          <w:b/>
          <w:bCs/>
          <w:szCs w:val="36"/>
          <w:lang w:val="en-AU"/>
        </w:rPr>
      </w:pPr>
      <w:r w:rsidRPr="00EF468C">
        <w:rPr>
          <w:rFonts w:cs="Arial"/>
          <w:b/>
          <w:bCs/>
          <w:szCs w:val="36"/>
          <w:lang w:val="en-AU"/>
        </w:rPr>
        <w:t>What this paper adds</w:t>
      </w:r>
    </w:p>
    <w:p w:rsidR="001015DD" w:rsidRPr="00EF468C" w:rsidRDefault="001015DD" w:rsidP="001015DD">
      <w:pPr>
        <w:rPr>
          <w:lang w:val="en-AU"/>
        </w:rPr>
      </w:pPr>
    </w:p>
    <w:p w:rsidR="001015DD" w:rsidRPr="00EF468C" w:rsidRDefault="001015DD" w:rsidP="001015DD">
      <w:pPr>
        <w:pStyle w:val="ListParagraph"/>
        <w:numPr>
          <w:ilvl w:val="0"/>
          <w:numId w:val="5"/>
        </w:numPr>
        <w:rPr>
          <w:rFonts w:ascii="Times New Roman" w:hAnsi="Times New Roman"/>
          <w:lang w:val="en-AU"/>
        </w:rPr>
      </w:pPr>
      <w:r w:rsidRPr="00EF468C">
        <w:rPr>
          <w:rFonts w:ascii="Times New Roman" w:hAnsi="Times New Roman"/>
          <w:lang w:val="en-AU"/>
        </w:rPr>
        <w:t xml:space="preserve">The relations between AS, worry, GAD and parent and peer alienation  </w:t>
      </w:r>
    </w:p>
    <w:p w:rsidR="001015DD" w:rsidRPr="00EF468C" w:rsidRDefault="001015DD" w:rsidP="001015DD">
      <w:pPr>
        <w:pStyle w:val="ListParagraph"/>
        <w:rPr>
          <w:rFonts w:ascii="Times New Roman" w:hAnsi="Times New Roman"/>
          <w:lang w:val="en-AU"/>
        </w:rPr>
      </w:pPr>
      <w:proofErr w:type="gramStart"/>
      <w:r w:rsidRPr="00EF468C">
        <w:rPr>
          <w:rFonts w:ascii="Times New Roman" w:hAnsi="Times New Roman"/>
          <w:lang w:val="en-AU"/>
        </w:rPr>
        <w:t>were</w:t>
      </w:r>
      <w:proofErr w:type="gramEnd"/>
      <w:r w:rsidRPr="00EF468C">
        <w:rPr>
          <w:rFonts w:ascii="Times New Roman" w:hAnsi="Times New Roman"/>
          <w:lang w:val="en-AU"/>
        </w:rPr>
        <w:t xml:space="preserve"> explored on a clinical sample for the first time.</w:t>
      </w:r>
    </w:p>
    <w:p w:rsidR="001015DD" w:rsidRPr="00EF468C" w:rsidRDefault="001015DD" w:rsidP="001015DD">
      <w:pPr>
        <w:rPr>
          <w:lang w:val="en-AU"/>
        </w:rPr>
      </w:pPr>
    </w:p>
    <w:p w:rsidR="001015DD" w:rsidRPr="00EF468C" w:rsidRDefault="001015DD" w:rsidP="001015DD">
      <w:pPr>
        <w:pStyle w:val="ListParagraph"/>
        <w:numPr>
          <w:ilvl w:val="0"/>
          <w:numId w:val="4"/>
        </w:numPr>
        <w:rPr>
          <w:rFonts w:ascii="Times New Roman" w:hAnsi="Times New Roman"/>
          <w:bCs/>
          <w:lang w:val="en-AU"/>
        </w:rPr>
      </w:pPr>
      <w:r w:rsidRPr="00EF468C">
        <w:rPr>
          <w:rFonts w:ascii="Times New Roman" w:hAnsi="Times New Roman"/>
          <w:bCs/>
          <w:lang w:val="en-AU"/>
        </w:rPr>
        <w:t>Anxiety sensitivity mediate</w:t>
      </w:r>
      <w:r w:rsidR="00245D9C" w:rsidRPr="00EF468C">
        <w:rPr>
          <w:rFonts w:ascii="Times New Roman" w:hAnsi="Times New Roman"/>
          <w:bCs/>
          <w:lang w:val="en-AU"/>
        </w:rPr>
        <w:t>d</w:t>
      </w:r>
      <w:r w:rsidRPr="00EF468C">
        <w:rPr>
          <w:rFonts w:ascii="Times New Roman" w:hAnsi="Times New Roman"/>
          <w:bCs/>
          <w:lang w:val="en-AU"/>
        </w:rPr>
        <w:t xml:space="preserve"> the relation between perceptions of alienation from peers and </w:t>
      </w:r>
      <w:proofErr w:type="gramStart"/>
      <w:r w:rsidRPr="00EF468C">
        <w:rPr>
          <w:rFonts w:ascii="Times New Roman" w:hAnsi="Times New Roman"/>
          <w:bCs/>
          <w:lang w:val="en-AU"/>
        </w:rPr>
        <w:t>worry</w:t>
      </w:r>
      <w:proofErr w:type="gramEnd"/>
      <w:r w:rsidRPr="00EF468C">
        <w:rPr>
          <w:rFonts w:ascii="Times New Roman" w:hAnsi="Times New Roman"/>
          <w:bCs/>
          <w:lang w:val="en-AU"/>
        </w:rPr>
        <w:t xml:space="preserve"> and GAD symptoms, but perceived parent alienation share</w:t>
      </w:r>
      <w:r w:rsidR="00245D9C" w:rsidRPr="00EF468C">
        <w:rPr>
          <w:rFonts w:ascii="Times New Roman" w:hAnsi="Times New Roman"/>
          <w:bCs/>
          <w:lang w:val="en-AU"/>
        </w:rPr>
        <w:t>d</w:t>
      </w:r>
      <w:r w:rsidRPr="00EF468C">
        <w:rPr>
          <w:rFonts w:ascii="Times New Roman" w:hAnsi="Times New Roman"/>
          <w:bCs/>
          <w:lang w:val="en-AU"/>
        </w:rPr>
        <w:t xml:space="preserve"> no significant relation to these variables.</w:t>
      </w:r>
    </w:p>
    <w:p w:rsidR="001015DD" w:rsidRPr="00EF468C" w:rsidRDefault="001015DD" w:rsidP="001015DD">
      <w:pPr>
        <w:pStyle w:val="ListParagraph"/>
        <w:rPr>
          <w:rFonts w:ascii="Times New Roman" w:hAnsi="Times New Roman"/>
          <w:bCs/>
          <w:lang w:val="en-AU"/>
        </w:rPr>
      </w:pPr>
    </w:p>
    <w:p w:rsidR="001015DD" w:rsidRPr="00EF468C" w:rsidRDefault="001015DD" w:rsidP="001015DD">
      <w:pPr>
        <w:pStyle w:val="ListParagraph"/>
        <w:numPr>
          <w:ilvl w:val="0"/>
          <w:numId w:val="4"/>
        </w:numPr>
        <w:rPr>
          <w:rFonts w:ascii="Times New Roman" w:hAnsi="Times New Roman"/>
          <w:bCs/>
          <w:lang w:val="en-AU"/>
        </w:rPr>
      </w:pPr>
      <w:r w:rsidRPr="00EF468C">
        <w:rPr>
          <w:rFonts w:ascii="Times New Roman" w:hAnsi="Times New Roman"/>
          <w:lang w:val="en-AU"/>
        </w:rPr>
        <w:t xml:space="preserve">The study suggests </w:t>
      </w:r>
      <w:r w:rsidRPr="00EF468C">
        <w:rPr>
          <w:rFonts w:ascii="Times New Roman" w:hAnsi="Times New Roman"/>
          <w:bCs/>
          <w:lang w:val="en-AU"/>
        </w:rPr>
        <w:t>a more salient role o</w:t>
      </w:r>
      <w:r w:rsidR="002A27C8" w:rsidRPr="00EF468C">
        <w:rPr>
          <w:rFonts w:ascii="Times New Roman" w:hAnsi="Times New Roman"/>
          <w:bCs/>
          <w:lang w:val="en-AU"/>
        </w:rPr>
        <w:t xml:space="preserve">f perceived peer, rather than </w:t>
      </w:r>
      <w:r w:rsidRPr="00EF468C">
        <w:rPr>
          <w:bCs/>
          <w:lang w:val="en-AU"/>
        </w:rPr>
        <w:t>parent alienation in individuals with a diagnosis of mental illness.</w:t>
      </w:r>
    </w:p>
    <w:p w:rsidR="001015DD" w:rsidRPr="00EF468C" w:rsidRDefault="001015DD" w:rsidP="001015DD">
      <w:pPr>
        <w:rPr>
          <w:lang w:val="en-AU"/>
        </w:rPr>
      </w:pPr>
    </w:p>
    <w:p w:rsidR="001015DD" w:rsidRPr="00EF468C" w:rsidRDefault="001015DD" w:rsidP="003A41C8">
      <w:pPr>
        <w:spacing w:line="480" w:lineRule="auto"/>
        <w:jc w:val="both"/>
        <w:rPr>
          <w:b/>
          <w:lang w:val="en-AU"/>
        </w:rPr>
      </w:pPr>
    </w:p>
    <w:p w:rsidR="003A41C8" w:rsidRPr="00EF468C" w:rsidRDefault="003A41C8" w:rsidP="003A41C8">
      <w:pPr>
        <w:spacing w:line="480" w:lineRule="auto"/>
        <w:jc w:val="both"/>
        <w:rPr>
          <w:b/>
          <w:lang w:val="en-AU"/>
        </w:rPr>
      </w:pPr>
    </w:p>
    <w:p w:rsidR="003A41C8" w:rsidRPr="00EF468C" w:rsidRDefault="003A41C8" w:rsidP="003A41C8">
      <w:pPr>
        <w:spacing w:line="480" w:lineRule="auto"/>
        <w:jc w:val="both"/>
        <w:rPr>
          <w:b/>
          <w:lang w:val="en-AU"/>
        </w:rPr>
      </w:pPr>
    </w:p>
    <w:p w:rsidR="003A41C8" w:rsidRPr="00EF468C" w:rsidRDefault="003A41C8" w:rsidP="003A41C8">
      <w:pPr>
        <w:spacing w:line="480" w:lineRule="auto"/>
        <w:jc w:val="both"/>
        <w:rPr>
          <w:b/>
          <w:lang w:val="en-AU"/>
        </w:rPr>
      </w:pPr>
    </w:p>
    <w:p w:rsidR="003A41C8" w:rsidRPr="00EF468C" w:rsidRDefault="003A41C8" w:rsidP="003A41C8">
      <w:pPr>
        <w:spacing w:line="480" w:lineRule="auto"/>
        <w:jc w:val="both"/>
        <w:rPr>
          <w:b/>
          <w:lang w:val="en-AU"/>
        </w:rPr>
      </w:pPr>
    </w:p>
    <w:p w:rsidR="003A41C8" w:rsidRPr="00EF468C" w:rsidRDefault="003A41C8" w:rsidP="003A41C8">
      <w:pPr>
        <w:spacing w:line="480" w:lineRule="auto"/>
        <w:jc w:val="both"/>
        <w:rPr>
          <w:b/>
          <w:lang w:val="en-AU"/>
        </w:rPr>
      </w:pPr>
    </w:p>
    <w:p w:rsidR="001015DD" w:rsidRPr="00EF468C" w:rsidRDefault="001015DD" w:rsidP="001F73AE">
      <w:pPr>
        <w:spacing w:line="480" w:lineRule="auto"/>
        <w:jc w:val="both"/>
        <w:outlineLvl w:val="0"/>
        <w:rPr>
          <w:b/>
          <w:lang w:val="en-AU"/>
        </w:rPr>
      </w:pPr>
    </w:p>
    <w:p w:rsidR="001015DD" w:rsidRPr="00EF468C" w:rsidRDefault="001015DD" w:rsidP="001F73AE">
      <w:pPr>
        <w:spacing w:line="480" w:lineRule="auto"/>
        <w:jc w:val="both"/>
        <w:outlineLvl w:val="0"/>
        <w:rPr>
          <w:b/>
          <w:lang w:val="en-AU"/>
        </w:rPr>
      </w:pPr>
    </w:p>
    <w:p w:rsidR="001015DD" w:rsidRPr="00EF468C" w:rsidRDefault="001015DD" w:rsidP="001F73AE">
      <w:pPr>
        <w:spacing w:line="480" w:lineRule="auto"/>
        <w:jc w:val="both"/>
        <w:outlineLvl w:val="0"/>
        <w:rPr>
          <w:b/>
          <w:lang w:val="en-AU"/>
        </w:rPr>
      </w:pPr>
    </w:p>
    <w:p w:rsidR="001015DD" w:rsidRPr="00EF468C" w:rsidRDefault="001015DD" w:rsidP="001F73AE">
      <w:pPr>
        <w:spacing w:line="480" w:lineRule="auto"/>
        <w:jc w:val="both"/>
        <w:outlineLvl w:val="0"/>
        <w:rPr>
          <w:b/>
          <w:lang w:val="en-AU"/>
        </w:rPr>
      </w:pPr>
    </w:p>
    <w:p w:rsidR="001015DD" w:rsidRPr="00EF468C" w:rsidRDefault="001015DD" w:rsidP="001F73AE">
      <w:pPr>
        <w:spacing w:line="480" w:lineRule="auto"/>
        <w:jc w:val="both"/>
        <w:outlineLvl w:val="0"/>
        <w:rPr>
          <w:b/>
          <w:lang w:val="en-AU"/>
        </w:rPr>
      </w:pPr>
    </w:p>
    <w:p w:rsidR="001015DD" w:rsidRPr="00EF468C" w:rsidRDefault="001015DD" w:rsidP="001F73AE">
      <w:pPr>
        <w:spacing w:line="480" w:lineRule="auto"/>
        <w:jc w:val="both"/>
        <w:outlineLvl w:val="0"/>
        <w:rPr>
          <w:b/>
          <w:lang w:val="en-AU"/>
        </w:rPr>
      </w:pPr>
    </w:p>
    <w:p w:rsidR="003B2B78" w:rsidRPr="00EF468C" w:rsidRDefault="003B2B78" w:rsidP="001F73AE">
      <w:pPr>
        <w:spacing w:line="480" w:lineRule="auto"/>
        <w:jc w:val="both"/>
        <w:outlineLvl w:val="0"/>
        <w:rPr>
          <w:b/>
          <w:lang w:val="en-AU"/>
        </w:rPr>
      </w:pPr>
      <w:r w:rsidRPr="00EF468C">
        <w:rPr>
          <w:b/>
          <w:lang w:val="en-AU"/>
        </w:rPr>
        <w:t>INTRODUCTION</w:t>
      </w:r>
    </w:p>
    <w:p w:rsidR="005512A9" w:rsidRPr="00EF468C" w:rsidRDefault="00B4495B" w:rsidP="005512A9">
      <w:pPr>
        <w:autoSpaceDE w:val="0"/>
        <w:autoSpaceDN w:val="0"/>
        <w:adjustRightInd w:val="0"/>
        <w:spacing w:line="360" w:lineRule="auto"/>
        <w:jc w:val="both"/>
        <w:rPr>
          <w:b/>
          <w:i/>
          <w:lang w:val="en-AU"/>
        </w:rPr>
      </w:pPr>
      <w:r w:rsidRPr="00EF468C">
        <w:rPr>
          <w:b/>
          <w:i/>
          <w:lang w:val="en-AU"/>
        </w:rPr>
        <w:t xml:space="preserve">The relations between </w:t>
      </w:r>
      <w:r w:rsidR="00980BDF" w:rsidRPr="00EF468C">
        <w:rPr>
          <w:b/>
          <w:i/>
          <w:lang w:val="en-AU"/>
        </w:rPr>
        <w:t>generalized anxiety disorder, anxiety sensitivity</w:t>
      </w:r>
      <w:r w:rsidRPr="00EF468C">
        <w:rPr>
          <w:b/>
          <w:i/>
          <w:lang w:val="en-AU"/>
        </w:rPr>
        <w:t xml:space="preserve">, worry and interpersonal </w:t>
      </w:r>
      <w:r w:rsidR="0026560D" w:rsidRPr="00EF468C">
        <w:rPr>
          <w:b/>
          <w:i/>
          <w:lang w:val="en-AU"/>
        </w:rPr>
        <w:t>variables</w:t>
      </w:r>
    </w:p>
    <w:p w:rsidR="003B2B78" w:rsidRPr="00EF468C" w:rsidRDefault="003B2B78" w:rsidP="005512A9">
      <w:pPr>
        <w:autoSpaceDE w:val="0"/>
        <w:autoSpaceDN w:val="0"/>
        <w:adjustRightInd w:val="0"/>
        <w:spacing w:line="360" w:lineRule="auto"/>
        <w:jc w:val="both"/>
        <w:rPr>
          <w:b/>
          <w:i/>
          <w:lang w:val="en-AU"/>
        </w:rPr>
      </w:pPr>
    </w:p>
    <w:p w:rsidR="003B2B78" w:rsidRPr="00EF468C" w:rsidRDefault="003B2B78" w:rsidP="00B4495B">
      <w:pPr>
        <w:spacing w:line="480" w:lineRule="auto"/>
        <w:ind w:firstLine="708"/>
        <w:jc w:val="both"/>
        <w:rPr>
          <w:lang w:val="en-AU"/>
        </w:rPr>
      </w:pPr>
      <w:r w:rsidRPr="00EF468C">
        <w:rPr>
          <w:lang w:val="en-AU"/>
        </w:rPr>
        <w:t>Studies have only recently begun to look at the role of interpersonal factors in relation to anxiety sensitivity (AS), a trait that has been hypothesized as a risk factor for the development of anxiety disorders. This trait is defined as a fear of anxiety-related sensations, arising from the belief that these sensations pose physical, social and/or psychological threat. Strongly related to AS, chronic worry also seems to be pervasive throughout the anxiety disorders (</w:t>
      </w:r>
      <w:proofErr w:type="spellStart"/>
      <w:r w:rsidRPr="00EF468C">
        <w:rPr>
          <w:lang w:val="en-AU"/>
        </w:rPr>
        <w:t>Mennin</w:t>
      </w:r>
      <w:proofErr w:type="spellEnd"/>
      <w:r w:rsidRPr="00EF468C">
        <w:rPr>
          <w:lang w:val="en-AU"/>
        </w:rPr>
        <w:t xml:space="preserve">, </w:t>
      </w:r>
      <w:proofErr w:type="spellStart"/>
      <w:r w:rsidRPr="00EF468C">
        <w:rPr>
          <w:lang w:val="en-AU"/>
        </w:rPr>
        <w:t>Heimberg</w:t>
      </w:r>
      <w:proofErr w:type="spellEnd"/>
      <w:r w:rsidRPr="00EF468C">
        <w:rPr>
          <w:lang w:val="en-AU"/>
        </w:rPr>
        <w:t>, &amp; Turk, 2004) and presents a central feature of generalized anxiety disorder (GAD), a common comorbid diagnosis to several other anxiety disorders. AS and worry (in a non-clinical sample) were correlated in a research by Floyd, Garfield</w:t>
      </w:r>
      <w:r w:rsidR="005D3EBE" w:rsidRPr="00EF468C">
        <w:rPr>
          <w:lang w:val="en-AU"/>
        </w:rPr>
        <w:t>,</w:t>
      </w:r>
      <w:r w:rsidRPr="00EF468C">
        <w:rPr>
          <w:lang w:val="en-AU"/>
        </w:rPr>
        <w:t xml:space="preserve"> </w:t>
      </w:r>
      <w:r w:rsidR="007E0647" w:rsidRPr="00EF468C">
        <w:rPr>
          <w:lang w:val="en-AU"/>
        </w:rPr>
        <w:t>and</w:t>
      </w:r>
      <w:r w:rsidRPr="00EF468C">
        <w:rPr>
          <w:lang w:val="en-AU"/>
        </w:rPr>
        <w:t xml:space="preserve"> </w:t>
      </w:r>
      <w:proofErr w:type="spellStart"/>
      <w:r w:rsidRPr="00EF468C">
        <w:rPr>
          <w:lang w:val="en-AU"/>
        </w:rPr>
        <w:t>LaSota</w:t>
      </w:r>
      <w:proofErr w:type="spellEnd"/>
      <w:r w:rsidRPr="00EF468C">
        <w:rPr>
          <w:lang w:val="en-AU"/>
        </w:rPr>
        <w:t xml:space="preserve"> (2005) which authors explained by tendency to focus on the uncertainty of future, which is a common factor in AS and worry. Furthermore, in GAD diagnosed individuals some facets of AS were significantly elevated compared to individuals with other anxiety diagnose</w:t>
      </w:r>
      <w:r w:rsidR="005D3EBE" w:rsidRPr="00EF468C">
        <w:rPr>
          <w:lang w:val="en-AU"/>
        </w:rPr>
        <w:t xml:space="preserve">s (Rector, </w:t>
      </w:r>
      <w:proofErr w:type="spellStart"/>
      <w:r w:rsidR="005D3EBE" w:rsidRPr="00EF468C">
        <w:rPr>
          <w:lang w:val="en-AU"/>
        </w:rPr>
        <w:t>Szacun</w:t>
      </w:r>
      <w:proofErr w:type="spellEnd"/>
      <w:r w:rsidR="005D3EBE" w:rsidRPr="00EF468C">
        <w:rPr>
          <w:lang w:val="en-AU"/>
        </w:rPr>
        <w:t xml:space="preserve">-Shimizu, &amp; </w:t>
      </w:r>
      <w:proofErr w:type="spellStart"/>
      <w:r w:rsidR="005D3EBE" w:rsidRPr="00EF468C">
        <w:rPr>
          <w:lang w:val="en-AU"/>
        </w:rPr>
        <w:t>Leybman</w:t>
      </w:r>
      <w:proofErr w:type="spellEnd"/>
      <w:r w:rsidRPr="00EF468C">
        <w:rPr>
          <w:lang w:val="en-AU"/>
        </w:rPr>
        <w:t xml:space="preserve">, 2007). </w:t>
      </w:r>
    </w:p>
    <w:p w:rsidR="00B4495B" w:rsidRPr="00EF468C" w:rsidRDefault="003B2B78" w:rsidP="00B4495B">
      <w:pPr>
        <w:autoSpaceDE w:val="0"/>
        <w:autoSpaceDN w:val="0"/>
        <w:adjustRightInd w:val="0"/>
        <w:spacing w:line="480" w:lineRule="auto"/>
        <w:ind w:firstLine="708"/>
        <w:jc w:val="both"/>
        <w:rPr>
          <w:lang w:val="en-AU"/>
        </w:rPr>
      </w:pPr>
      <w:r w:rsidRPr="00EF468C">
        <w:rPr>
          <w:lang w:val="en-AU"/>
        </w:rPr>
        <w:t>While the role of genetic factors in the development of AS has been heavily emphasized, the role of interpersonal factors seems to be also of large importanc</w:t>
      </w:r>
      <w:r w:rsidR="007E0647" w:rsidRPr="00EF468C">
        <w:rPr>
          <w:lang w:val="en-AU"/>
        </w:rPr>
        <w:t>e. For example, Watt, Stewart, and</w:t>
      </w:r>
      <w:r w:rsidRPr="00EF468C">
        <w:rPr>
          <w:lang w:val="en-AU"/>
        </w:rPr>
        <w:t xml:space="preserve"> Cox (1998) reported that, in comparison to controls, young adults with high AS had parents who more frequently reinforced their displays of ill role </w:t>
      </w:r>
      <w:proofErr w:type="spellStart"/>
      <w:r w:rsidRPr="00EF468C">
        <w:rPr>
          <w:lang w:val="en-AU"/>
        </w:rPr>
        <w:t>behavior</w:t>
      </w:r>
      <w:proofErr w:type="spellEnd"/>
      <w:r w:rsidRPr="00EF468C">
        <w:rPr>
          <w:lang w:val="en-AU"/>
        </w:rPr>
        <w:t xml:space="preserve"> in response to child anxiety symptoms, more often </w:t>
      </w:r>
      <w:proofErr w:type="spellStart"/>
      <w:r w:rsidRPr="00EF468C">
        <w:rPr>
          <w:lang w:val="en-AU"/>
        </w:rPr>
        <w:t>modeled</w:t>
      </w:r>
      <w:proofErr w:type="spellEnd"/>
      <w:r w:rsidRPr="00EF468C">
        <w:rPr>
          <w:lang w:val="en-AU"/>
        </w:rPr>
        <w:t xml:space="preserve"> fear of anxiety symptoms and more frequently displayed uncontrolled </w:t>
      </w:r>
      <w:proofErr w:type="spellStart"/>
      <w:r w:rsidRPr="00EF468C">
        <w:rPr>
          <w:lang w:val="en-AU"/>
        </w:rPr>
        <w:t>behavior</w:t>
      </w:r>
      <w:proofErr w:type="spellEnd"/>
      <w:r w:rsidRPr="00EF468C">
        <w:rPr>
          <w:lang w:val="en-AU"/>
        </w:rPr>
        <w:t xml:space="preserve">. Concerning the role of </w:t>
      </w:r>
      <w:r w:rsidRPr="00EF468C">
        <w:rPr>
          <w:lang w:val="en-AU"/>
        </w:rPr>
        <w:lastRenderedPageBreak/>
        <w:t xml:space="preserve">attachment in the development of AS, previous studies provided evidence that perceptions of negative parental </w:t>
      </w:r>
      <w:proofErr w:type="spellStart"/>
      <w:r w:rsidRPr="00EF468C">
        <w:rPr>
          <w:lang w:val="en-AU"/>
        </w:rPr>
        <w:t>behaviors</w:t>
      </w:r>
      <w:proofErr w:type="spellEnd"/>
      <w:r w:rsidRPr="00EF468C">
        <w:rPr>
          <w:lang w:val="en-AU"/>
        </w:rPr>
        <w:t xml:space="preserve"> during childhood, hypothesized to have a role in the development of insecure attachments, are related to AS and anxious symptomatology in adulthood</w:t>
      </w:r>
      <w:r w:rsidR="00437B1C" w:rsidRPr="00EF468C">
        <w:rPr>
          <w:lang w:val="en-AU"/>
        </w:rPr>
        <w:t xml:space="preserve"> (</w:t>
      </w:r>
      <w:proofErr w:type="spellStart"/>
      <w:r w:rsidR="005D3EBE" w:rsidRPr="00EF468C">
        <w:rPr>
          <w:lang w:val="en-AU"/>
        </w:rPr>
        <w:t>Bosmans</w:t>
      </w:r>
      <w:proofErr w:type="spellEnd"/>
      <w:r w:rsidR="005D3EBE" w:rsidRPr="00EF468C">
        <w:rPr>
          <w:lang w:val="en-AU"/>
        </w:rPr>
        <w:t xml:space="preserve">, </w:t>
      </w:r>
      <w:proofErr w:type="spellStart"/>
      <w:r w:rsidR="005D3EBE" w:rsidRPr="00EF468C">
        <w:rPr>
          <w:lang w:val="en-AU"/>
        </w:rPr>
        <w:t>Braet</w:t>
      </w:r>
      <w:proofErr w:type="spellEnd"/>
      <w:r w:rsidR="005D3EBE" w:rsidRPr="00EF468C">
        <w:rPr>
          <w:lang w:val="en-AU"/>
        </w:rPr>
        <w:t xml:space="preserve">, &amp; Van </w:t>
      </w:r>
      <w:proofErr w:type="spellStart"/>
      <w:r w:rsidR="005D3EBE" w:rsidRPr="00EF468C">
        <w:rPr>
          <w:lang w:val="en-AU"/>
        </w:rPr>
        <w:t>Vlierberghe</w:t>
      </w:r>
      <w:proofErr w:type="spellEnd"/>
      <w:r w:rsidR="005D3EBE" w:rsidRPr="00EF468C">
        <w:rPr>
          <w:lang w:val="en-AU"/>
        </w:rPr>
        <w:t xml:space="preserve">, 2010; </w:t>
      </w:r>
      <w:r w:rsidR="00437B1C" w:rsidRPr="00EF468C">
        <w:rPr>
          <w:lang w:val="en-AU"/>
        </w:rPr>
        <w:t xml:space="preserve">Simard, Moss, </w:t>
      </w:r>
      <w:r w:rsidR="005D3EBE" w:rsidRPr="00EF468C">
        <w:rPr>
          <w:lang w:val="en-AU"/>
        </w:rPr>
        <w:t>&amp;</w:t>
      </w:r>
      <w:r w:rsidR="00437B1C" w:rsidRPr="00EF468C">
        <w:rPr>
          <w:lang w:val="en-AU"/>
        </w:rPr>
        <w:t xml:space="preserve"> </w:t>
      </w:r>
      <w:proofErr w:type="spellStart"/>
      <w:r w:rsidR="00437B1C" w:rsidRPr="00EF468C">
        <w:rPr>
          <w:lang w:val="en-AU"/>
        </w:rPr>
        <w:t>Pascuzzo</w:t>
      </w:r>
      <w:proofErr w:type="spellEnd"/>
      <w:r w:rsidR="00437B1C" w:rsidRPr="00EF468C">
        <w:rPr>
          <w:lang w:val="en-AU"/>
        </w:rPr>
        <w:t xml:space="preserve">, 2011; </w:t>
      </w:r>
      <w:proofErr w:type="spellStart"/>
      <w:r w:rsidR="00437B1C" w:rsidRPr="00EF468C">
        <w:rPr>
          <w:lang w:val="en-AU"/>
        </w:rPr>
        <w:t>Viana</w:t>
      </w:r>
      <w:proofErr w:type="spellEnd"/>
      <w:r w:rsidR="00437B1C" w:rsidRPr="00EF468C">
        <w:rPr>
          <w:lang w:val="en-AU"/>
        </w:rPr>
        <w:t xml:space="preserve"> </w:t>
      </w:r>
      <w:r w:rsidR="005D3EBE" w:rsidRPr="00EF468C">
        <w:rPr>
          <w:lang w:val="en-AU"/>
        </w:rPr>
        <w:t>&amp;</w:t>
      </w:r>
      <w:r w:rsidR="00437B1C" w:rsidRPr="00EF468C">
        <w:rPr>
          <w:lang w:val="en-AU"/>
        </w:rPr>
        <w:t xml:space="preserve"> </w:t>
      </w:r>
      <w:proofErr w:type="spellStart"/>
      <w:r w:rsidR="00437B1C" w:rsidRPr="00EF468C">
        <w:rPr>
          <w:lang w:val="en-AU"/>
        </w:rPr>
        <w:t>Rabian</w:t>
      </w:r>
      <w:proofErr w:type="spellEnd"/>
      <w:r w:rsidR="00437B1C" w:rsidRPr="00EF468C">
        <w:rPr>
          <w:lang w:val="en-AU"/>
        </w:rPr>
        <w:t>, 2008). Furthermore</w:t>
      </w:r>
      <w:r w:rsidRPr="00EF468C">
        <w:rPr>
          <w:lang w:val="en-AU"/>
        </w:rPr>
        <w:t xml:space="preserve">, </w:t>
      </w:r>
      <w:proofErr w:type="spellStart"/>
      <w:r w:rsidRPr="00EF468C">
        <w:rPr>
          <w:lang w:val="en-AU"/>
        </w:rPr>
        <w:t>Scher</w:t>
      </w:r>
      <w:proofErr w:type="spellEnd"/>
      <w:r w:rsidRPr="00EF468C">
        <w:rPr>
          <w:lang w:val="en-AU"/>
        </w:rPr>
        <w:t xml:space="preserve"> and Stein (2003) found that perceived parental threatening </w:t>
      </w:r>
      <w:proofErr w:type="spellStart"/>
      <w:r w:rsidRPr="00EF468C">
        <w:rPr>
          <w:lang w:val="en-AU"/>
        </w:rPr>
        <w:t>behaviors</w:t>
      </w:r>
      <w:proofErr w:type="spellEnd"/>
      <w:r w:rsidRPr="00EF468C">
        <w:rPr>
          <w:lang w:val="en-AU"/>
        </w:rPr>
        <w:t xml:space="preserve"> emerged as the best predictor of overall AS, that AS mediated the relation between perceived parental threatening </w:t>
      </w:r>
      <w:proofErr w:type="spellStart"/>
      <w:r w:rsidRPr="00EF468C">
        <w:rPr>
          <w:lang w:val="en-AU"/>
        </w:rPr>
        <w:t>behaviors</w:t>
      </w:r>
      <w:proofErr w:type="spellEnd"/>
      <w:r w:rsidRPr="00EF468C">
        <w:rPr>
          <w:lang w:val="en-AU"/>
        </w:rPr>
        <w:t xml:space="preserve"> as well as both past and current anxious symptoms, and finally, that fear of publicly observable symptoms mediated the relation between perceived parental threatening </w:t>
      </w:r>
      <w:proofErr w:type="spellStart"/>
      <w:r w:rsidRPr="00EF468C">
        <w:rPr>
          <w:lang w:val="en-AU"/>
        </w:rPr>
        <w:t>behaviors</w:t>
      </w:r>
      <w:proofErr w:type="spellEnd"/>
      <w:r w:rsidRPr="00EF468C">
        <w:rPr>
          <w:lang w:val="en-AU"/>
        </w:rPr>
        <w:t xml:space="preserve"> and current, not past, anxiety symptoms.  Weems, Berman, Silverman, &amp; Rodriguez (2002) also found that insecurely attached individuals, classified as preoccupied and fearful, had significantly higher AS scores than securely attached individuals. </w:t>
      </w:r>
      <w:r w:rsidR="00F96D0E" w:rsidRPr="00EF468C">
        <w:rPr>
          <w:lang w:val="en-AU"/>
        </w:rPr>
        <w:t xml:space="preserve">Insecure attachment has also </w:t>
      </w:r>
      <w:r w:rsidR="007E0647" w:rsidRPr="00EF468C">
        <w:rPr>
          <w:lang w:val="en-AU"/>
        </w:rPr>
        <w:t xml:space="preserve">been </w:t>
      </w:r>
      <w:r w:rsidR="00F96D0E" w:rsidRPr="00EF468C">
        <w:rPr>
          <w:lang w:val="en-AU"/>
        </w:rPr>
        <w:t xml:space="preserve">implied as an interpersonal variable that contributes to the development of psychopathology, especially </w:t>
      </w:r>
      <w:r w:rsidR="004F0786" w:rsidRPr="00EF468C">
        <w:rPr>
          <w:lang w:val="en-AU"/>
        </w:rPr>
        <w:t xml:space="preserve">GAD symptoms (Cassidy, Lichtenstein-Phelps, </w:t>
      </w:r>
      <w:proofErr w:type="spellStart"/>
      <w:r w:rsidR="004F0786" w:rsidRPr="00EF468C">
        <w:rPr>
          <w:lang w:val="en-AU"/>
        </w:rPr>
        <w:t>Sibrava</w:t>
      </w:r>
      <w:proofErr w:type="spellEnd"/>
      <w:r w:rsidR="004F0786" w:rsidRPr="00EF468C">
        <w:rPr>
          <w:lang w:val="en-AU"/>
        </w:rPr>
        <w:t xml:space="preserve">, Thomas, &amp; </w:t>
      </w:r>
      <w:proofErr w:type="spellStart"/>
      <w:r w:rsidR="004F0786" w:rsidRPr="00EF468C">
        <w:rPr>
          <w:lang w:val="en-AU"/>
        </w:rPr>
        <w:t>Borkovec</w:t>
      </w:r>
      <w:proofErr w:type="spellEnd"/>
      <w:r w:rsidR="004F0786" w:rsidRPr="00EF468C">
        <w:rPr>
          <w:lang w:val="en-AU"/>
        </w:rPr>
        <w:t xml:space="preserve">, 2009; </w:t>
      </w:r>
      <w:proofErr w:type="spellStart"/>
      <w:r w:rsidR="00437B1C" w:rsidRPr="00EF468C">
        <w:rPr>
          <w:lang w:val="en-AU"/>
        </w:rPr>
        <w:t>Roelofs</w:t>
      </w:r>
      <w:proofErr w:type="spellEnd"/>
      <w:r w:rsidR="00437B1C" w:rsidRPr="00EF468C">
        <w:rPr>
          <w:lang w:val="en-AU"/>
        </w:rPr>
        <w:t xml:space="preserve">, Lee, </w:t>
      </w:r>
      <w:proofErr w:type="spellStart"/>
      <w:r w:rsidR="00437B1C" w:rsidRPr="00EF468C">
        <w:rPr>
          <w:lang w:val="en-AU"/>
        </w:rPr>
        <w:t>Ruijten</w:t>
      </w:r>
      <w:proofErr w:type="spellEnd"/>
      <w:r w:rsidR="00437B1C" w:rsidRPr="00EF468C">
        <w:rPr>
          <w:lang w:val="en-AU"/>
        </w:rPr>
        <w:t xml:space="preserve">, </w:t>
      </w:r>
      <w:r w:rsidR="007E0647" w:rsidRPr="00EF468C">
        <w:rPr>
          <w:lang w:val="en-AU"/>
        </w:rPr>
        <w:t>&amp;</w:t>
      </w:r>
      <w:r w:rsidR="00437B1C" w:rsidRPr="00EF468C">
        <w:rPr>
          <w:lang w:val="en-AU"/>
        </w:rPr>
        <w:t xml:space="preserve"> </w:t>
      </w:r>
      <w:proofErr w:type="spellStart"/>
      <w:r w:rsidR="00437B1C" w:rsidRPr="00EF468C">
        <w:rPr>
          <w:lang w:val="en-AU"/>
        </w:rPr>
        <w:t>Lobbestael</w:t>
      </w:r>
      <w:proofErr w:type="spellEnd"/>
      <w:r w:rsidR="00437B1C" w:rsidRPr="00EF468C">
        <w:rPr>
          <w:lang w:val="en-AU"/>
        </w:rPr>
        <w:t xml:space="preserve">, 2011; </w:t>
      </w:r>
      <w:proofErr w:type="spellStart"/>
      <w:r w:rsidR="004F0786" w:rsidRPr="00EF468C">
        <w:rPr>
          <w:lang w:val="en-AU"/>
        </w:rPr>
        <w:t>Roelofs</w:t>
      </w:r>
      <w:proofErr w:type="spellEnd"/>
      <w:r w:rsidR="004F0786" w:rsidRPr="00EF468C">
        <w:rPr>
          <w:lang w:val="en-AU"/>
        </w:rPr>
        <w:t xml:space="preserve">, </w:t>
      </w:r>
      <w:proofErr w:type="spellStart"/>
      <w:r w:rsidR="004F0786" w:rsidRPr="00EF468C">
        <w:rPr>
          <w:lang w:val="en-AU"/>
        </w:rPr>
        <w:t>Oncles</w:t>
      </w:r>
      <w:proofErr w:type="spellEnd"/>
      <w:r w:rsidR="004F0786" w:rsidRPr="00EF468C">
        <w:rPr>
          <w:lang w:val="en-AU"/>
        </w:rPr>
        <w:t xml:space="preserve">, &amp; </w:t>
      </w:r>
      <w:proofErr w:type="spellStart"/>
      <w:r w:rsidR="004F0786" w:rsidRPr="00EF468C">
        <w:rPr>
          <w:lang w:val="en-AU"/>
        </w:rPr>
        <w:t>Muris</w:t>
      </w:r>
      <w:proofErr w:type="spellEnd"/>
      <w:r w:rsidR="004F0786" w:rsidRPr="00EF468C">
        <w:rPr>
          <w:lang w:val="en-AU"/>
        </w:rPr>
        <w:t xml:space="preserve">, 2013). Therefore, the next section will provide some relevant theoretical discussions and research findings regarding these considerations.  </w:t>
      </w:r>
    </w:p>
    <w:p w:rsidR="00B4495B" w:rsidRPr="00EF468C" w:rsidRDefault="00B4495B" w:rsidP="00B4495B">
      <w:pPr>
        <w:autoSpaceDE w:val="0"/>
        <w:autoSpaceDN w:val="0"/>
        <w:adjustRightInd w:val="0"/>
        <w:spacing w:line="480" w:lineRule="auto"/>
        <w:ind w:firstLine="708"/>
        <w:jc w:val="both"/>
        <w:rPr>
          <w:lang w:val="en-AU"/>
        </w:rPr>
      </w:pPr>
    </w:p>
    <w:p w:rsidR="00B4495B" w:rsidRPr="00EF468C" w:rsidRDefault="00757DB7" w:rsidP="005512A9">
      <w:pPr>
        <w:autoSpaceDE w:val="0"/>
        <w:autoSpaceDN w:val="0"/>
        <w:adjustRightInd w:val="0"/>
        <w:spacing w:line="480" w:lineRule="auto"/>
        <w:jc w:val="both"/>
        <w:rPr>
          <w:b/>
          <w:i/>
          <w:lang w:val="en-AU"/>
        </w:rPr>
      </w:pPr>
      <w:r w:rsidRPr="00EF468C">
        <w:rPr>
          <w:b/>
          <w:i/>
          <w:lang w:val="en-AU"/>
        </w:rPr>
        <w:t xml:space="preserve">Possible developmental roots of </w:t>
      </w:r>
      <w:r w:rsidR="00980BDF" w:rsidRPr="00EF468C">
        <w:rPr>
          <w:b/>
          <w:i/>
          <w:lang w:val="en-AU"/>
        </w:rPr>
        <w:t>generalized anxiety disorder,</w:t>
      </w:r>
      <w:r w:rsidRPr="00EF468C">
        <w:rPr>
          <w:b/>
          <w:i/>
          <w:lang w:val="en-AU"/>
        </w:rPr>
        <w:t xml:space="preserve"> and parent and peer alienation</w:t>
      </w:r>
    </w:p>
    <w:p w:rsidR="00B4495B" w:rsidRPr="00EF468C" w:rsidRDefault="003B2B78" w:rsidP="005512A9">
      <w:pPr>
        <w:autoSpaceDE w:val="0"/>
        <w:autoSpaceDN w:val="0"/>
        <w:adjustRightInd w:val="0"/>
        <w:spacing w:line="480" w:lineRule="auto"/>
        <w:ind w:firstLine="708"/>
        <w:jc w:val="both"/>
        <w:rPr>
          <w:lang w:val="en-AU"/>
        </w:rPr>
      </w:pPr>
      <w:r w:rsidRPr="00EF468C">
        <w:rPr>
          <w:lang w:val="en-AU"/>
        </w:rPr>
        <w:t xml:space="preserve">Some authors imply that developmental roots of GAD also lie in insecure attachment (Cassidy, Lichtenstein-Phelps, </w:t>
      </w:r>
      <w:proofErr w:type="spellStart"/>
      <w:r w:rsidRPr="00EF468C">
        <w:rPr>
          <w:lang w:val="en-AU"/>
        </w:rPr>
        <w:t>Sibrava</w:t>
      </w:r>
      <w:proofErr w:type="spellEnd"/>
      <w:r w:rsidRPr="00EF468C">
        <w:rPr>
          <w:lang w:val="en-AU"/>
        </w:rPr>
        <w:t xml:space="preserve">, Thomas, &amp; </w:t>
      </w:r>
      <w:proofErr w:type="spellStart"/>
      <w:r w:rsidRPr="00EF468C">
        <w:rPr>
          <w:lang w:val="en-AU"/>
        </w:rPr>
        <w:t>Borkovec</w:t>
      </w:r>
      <w:proofErr w:type="spellEnd"/>
      <w:r w:rsidRPr="00EF468C">
        <w:rPr>
          <w:lang w:val="en-AU"/>
        </w:rPr>
        <w:t>, 2009), and according to them there are five sets of reasons why one</w:t>
      </w:r>
      <w:r w:rsidR="00B4495B" w:rsidRPr="00EF468C">
        <w:rPr>
          <w:lang w:val="en-AU"/>
        </w:rPr>
        <w:t xml:space="preserve"> would derive such conclusion. </w:t>
      </w:r>
      <w:r w:rsidRPr="00EF468C">
        <w:rPr>
          <w:lang w:val="en-AU"/>
        </w:rPr>
        <w:t xml:space="preserve">The first set implies the inherently interpersonal nature of worry, the central feature of GAD, as worry has been found to be most highly related to fears associated with social evaluation and interpersonal relationships, as well as unrelated to most </w:t>
      </w:r>
      <w:proofErr w:type="spellStart"/>
      <w:r w:rsidRPr="00EF468C">
        <w:rPr>
          <w:lang w:val="en-AU"/>
        </w:rPr>
        <w:t>noninterpersonal</w:t>
      </w:r>
      <w:proofErr w:type="spellEnd"/>
      <w:r w:rsidRPr="00EF468C">
        <w:rPr>
          <w:lang w:val="en-AU"/>
        </w:rPr>
        <w:t xml:space="preserve"> objects or events (</w:t>
      </w:r>
      <w:proofErr w:type="spellStart"/>
      <w:r w:rsidRPr="00EF468C">
        <w:rPr>
          <w:lang w:val="en-AU"/>
        </w:rPr>
        <w:t>Borkovec</w:t>
      </w:r>
      <w:proofErr w:type="spellEnd"/>
      <w:r w:rsidRPr="00EF468C">
        <w:rPr>
          <w:lang w:val="en-AU"/>
        </w:rPr>
        <w:t xml:space="preserve">, </w:t>
      </w:r>
      <w:r w:rsidRPr="00EF468C">
        <w:rPr>
          <w:lang w:val="en-AU"/>
        </w:rPr>
        <w:lastRenderedPageBreak/>
        <w:t xml:space="preserve">Robinson, </w:t>
      </w:r>
      <w:proofErr w:type="spellStart"/>
      <w:r w:rsidRPr="00EF468C">
        <w:rPr>
          <w:lang w:val="en-AU"/>
        </w:rPr>
        <w:t>Pruzinsky</w:t>
      </w:r>
      <w:proofErr w:type="spellEnd"/>
      <w:r w:rsidRPr="00EF468C">
        <w:rPr>
          <w:lang w:val="en-AU"/>
        </w:rPr>
        <w:t xml:space="preserve">, &amp; </w:t>
      </w:r>
      <w:proofErr w:type="spellStart"/>
      <w:r w:rsidRPr="00EF468C">
        <w:rPr>
          <w:lang w:val="en-AU"/>
        </w:rPr>
        <w:t>DePree</w:t>
      </w:r>
      <w:proofErr w:type="spellEnd"/>
      <w:r w:rsidRPr="00EF468C">
        <w:rPr>
          <w:lang w:val="en-AU"/>
        </w:rPr>
        <w:t xml:space="preserve">, 1983; Roemer, Molina, &amp; </w:t>
      </w:r>
      <w:proofErr w:type="spellStart"/>
      <w:r w:rsidRPr="00EF468C">
        <w:rPr>
          <w:lang w:val="en-AU"/>
        </w:rPr>
        <w:t>Borkovec</w:t>
      </w:r>
      <w:proofErr w:type="spellEnd"/>
      <w:r w:rsidRPr="00EF468C">
        <w:rPr>
          <w:lang w:val="en-AU"/>
        </w:rPr>
        <w:t xml:space="preserve">, 1997). The second set refers to logical cognitive errors that produce unrealistic perceptions of viewing the world as a dangerous place, while underestimating one's own coping resources at the same time. According to Bowlby's attachment theory and current research, insecurely attached children are more likely to have such negative cognitions than are securely attached children (Bretherton, Ridgeway, &amp; Cassidy, 1990). These perceptions may arise from the lack of providing desired comfort by the relevant attachment figure in face of threat (Cassidy et al., 2009). Third set refers to the environmental role in the specific development of GAD, as previous research indicate that GAD occurs within families, but lacks a strong genetic component. The fourth set refers to Bowlby's proposal of the link between insecure attachment and diffuse anxiety observed in GAD (Bowlby, 1973). Namely, Bowlby sees </w:t>
      </w:r>
      <w:r w:rsidR="00F74EE7" w:rsidRPr="00EF468C">
        <w:rPr>
          <w:lang w:val="en-AU"/>
        </w:rPr>
        <w:t>generalized</w:t>
      </w:r>
      <w:r w:rsidRPr="00EF468C">
        <w:rPr>
          <w:lang w:val="en-AU"/>
        </w:rPr>
        <w:t xml:space="preserve"> anxiety arising from the individual's lack of confidence that the attachment figure will be available in times of trouble </w:t>
      </w:r>
      <w:r w:rsidRPr="00EF468C">
        <w:rPr>
          <w:i/>
          <w:lang w:val="en-AU"/>
        </w:rPr>
        <w:t>no matter the source of fear</w:t>
      </w:r>
      <w:r w:rsidRPr="00EF468C">
        <w:rPr>
          <w:lang w:val="en-AU"/>
        </w:rPr>
        <w:t>. The fifth</w:t>
      </w:r>
      <w:r w:rsidRPr="00EF468C">
        <w:rPr>
          <w:b/>
          <w:lang w:val="en-AU"/>
        </w:rPr>
        <w:t xml:space="preserve"> </w:t>
      </w:r>
      <w:r w:rsidRPr="00EF468C">
        <w:rPr>
          <w:lang w:val="en-AU"/>
        </w:rPr>
        <w:t>set refers to the emotion dysregulation difficulties observed in individuals with GAD (</w:t>
      </w:r>
      <w:proofErr w:type="spellStart"/>
      <w:r w:rsidRPr="00EF468C">
        <w:rPr>
          <w:lang w:val="en-AU"/>
        </w:rPr>
        <w:t>Mennin</w:t>
      </w:r>
      <w:proofErr w:type="spellEnd"/>
      <w:r w:rsidRPr="00EF468C">
        <w:rPr>
          <w:lang w:val="en-AU"/>
        </w:rPr>
        <w:t xml:space="preserve">, </w:t>
      </w:r>
      <w:proofErr w:type="spellStart"/>
      <w:r w:rsidRPr="00EF468C">
        <w:rPr>
          <w:lang w:val="en-AU"/>
        </w:rPr>
        <w:t>Heimberg</w:t>
      </w:r>
      <w:proofErr w:type="spellEnd"/>
      <w:r w:rsidRPr="00EF468C">
        <w:rPr>
          <w:lang w:val="en-AU"/>
        </w:rPr>
        <w:t xml:space="preserve">, Turk, &amp; Fresco, 2005), where attachment is viewed through the role of „a relational emotion regulation system” (Guttmann-Steinmetz &amp; Crowell, 2006). Namely, securely attached child grows confidence that distressing emotions are tolerable by building representations of others as available and responsive and of the self as capable of eliciting such care. On the other hand, if a child has a lack of confidence in the availability of a responsive attachment figure when needed, two patterns of responding to distressing emotions may </w:t>
      </w:r>
      <w:r w:rsidR="002A4126" w:rsidRPr="00EF468C">
        <w:rPr>
          <w:lang w:val="en-AU"/>
        </w:rPr>
        <w:t>occur</w:t>
      </w:r>
      <w:r w:rsidRPr="00EF468C">
        <w:rPr>
          <w:lang w:val="en-AU"/>
        </w:rPr>
        <w:t>. One refers to anxious attachment associated with magnifying threats and stressors and ruminating about problems. The other one is especially linked to interpersonal problems and refers to avoidant attachment associated with suppression and denial of stressors and threats, as well as withdrawal from clo</w:t>
      </w:r>
      <w:r w:rsidR="001A5443" w:rsidRPr="00EF468C">
        <w:rPr>
          <w:lang w:val="en-AU"/>
        </w:rPr>
        <w:t xml:space="preserve">se interpersonal </w:t>
      </w:r>
      <w:r w:rsidR="005512A9" w:rsidRPr="00EF468C">
        <w:rPr>
          <w:lang w:val="en-AU"/>
        </w:rPr>
        <w:t>relationships.</w:t>
      </w:r>
      <w:r w:rsidR="001A5443" w:rsidRPr="00EF468C">
        <w:rPr>
          <w:lang w:val="en-AU"/>
        </w:rPr>
        <w:t xml:space="preserve"> </w:t>
      </w:r>
      <w:r w:rsidR="009B126B" w:rsidRPr="00EF468C">
        <w:rPr>
          <w:color w:val="000000" w:themeColor="text1"/>
          <w:lang w:val="en-AU"/>
        </w:rPr>
        <w:t xml:space="preserve">The development of insecure attachment is of great importance when considering the relation between GAD and parent and peer alienation </w:t>
      </w:r>
      <w:r w:rsidR="009B126B" w:rsidRPr="00EF468C">
        <w:rPr>
          <w:color w:val="000000" w:themeColor="text1"/>
          <w:lang w:val="en-AU"/>
        </w:rPr>
        <w:lastRenderedPageBreak/>
        <w:t>because some researche</w:t>
      </w:r>
      <w:r w:rsidR="003B6A6B" w:rsidRPr="00EF468C">
        <w:rPr>
          <w:color w:val="000000" w:themeColor="text1"/>
          <w:lang w:val="en-AU"/>
        </w:rPr>
        <w:t>r</w:t>
      </w:r>
      <w:r w:rsidR="009B126B" w:rsidRPr="00EF468C">
        <w:rPr>
          <w:color w:val="000000" w:themeColor="text1"/>
          <w:lang w:val="en-AU"/>
        </w:rPr>
        <w:t xml:space="preserve">s consider that the roots of later </w:t>
      </w:r>
      <w:r w:rsidR="007372BD" w:rsidRPr="00EF468C">
        <w:rPr>
          <w:color w:val="000000" w:themeColor="text1"/>
          <w:lang w:val="en-AU"/>
        </w:rPr>
        <w:t>interpersonal avoidance and excessive worry patterns</w:t>
      </w:r>
      <w:r w:rsidR="009B126B" w:rsidRPr="00EF468C">
        <w:rPr>
          <w:color w:val="000000" w:themeColor="text1"/>
          <w:lang w:val="en-AU"/>
        </w:rPr>
        <w:t xml:space="preserve"> in individuals with GAD lie in insecure attachment</w:t>
      </w:r>
      <w:r w:rsidR="003B6A6B" w:rsidRPr="00EF468C">
        <w:rPr>
          <w:color w:val="000000" w:themeColor="text1"/>
          <w:lang w:val="en-AU"/>
        </w:rPr>
        <w:t xml:space="preserve"> </w:t>
      </w:r>
      <w:r w:rsidR="00435B64" w:rsidRPr="00EF468C">
        <w:rPr>
          <w:color w:val="000000" w:themeColor="text1"/>
          <w:lang w:val="en-AU"/>
        </w:rPr>
        <w:t>(</w:t>
      </w:r>
      <w:r w:rsidR="007E0647" w:rsidRPr="00EF468C">
        <w:rPr>
          <w:color w:val="000000" w:themeColor="text1"/>
          <w:lang w:val="en-AU"/>
        </w:rPr>
        <w:t xml:space="preserve">Cassidy et al., 2009; </w:t>
      </w:r>
      <w:proofErr w:type="spellStart"/>
      <w:r w:rsidR="007E0647" w:rsidRPr="00EF468C">
        <w:rPr>
          <w:color w:val="000000" w:themeColor="text1"/>
          <w:lang w:val="en-AU"/>
        </w:rPr>
        <w:t>Marganska</w:t>
      </w:r>
      <w:proofErr w:type="spellEnd"/>
      <w:r w:rsidR="007E0647" w:rsidRPr="00EF468C">
        <w:rPr>
          <w:color w:val="000000" w:themeColor="text1"/>
          <w:lang w:val="en-AU"/>
        </w:rPr>
        <w:t xml:space="preserve">, Gallagher, &amp; Miranda, 2013; </w:t>
      </w:r>
      <w:proofErr w:type="spellStart"/>
      <w:r w:rsidR="00435B64" w:rsidRPr="00EF468C">
        <w:rPr>
          <w:color w:val="000000" w:themeColor="text1"/>
          <w:lang w:val="en-AU"/>
        </w:rPr>
        <w:t>Viana</w:t>
      </w:r>
      <w:proofErr w:type="spellEnd"/>
      <w:r w:rsidR="00435B64" w:rsidRPr="00EF468C">
        <w:rPr>
          <w:color w:val="000000" w:themeColor="text1"/>
          <w:lang w:val="en-AU"/>
        </w:rPr>
        <w:t xml:space="preserve"> </w:t>
      </w:r>
      <w:r w:rsidR="007E0647" w:rsidRPr="00EF468C">
        <w:rPr>
          <w:color w:val="000000" w:themeColor="text1"/>
          <w:lang w:val="en-AU"/>
        </w:rPr>
        <w:t xml:space="preserve">&amp; </w:t>
      </w:r>
      <w:proofErr w:type="spellStart"/>
      <w:r w:rsidR="007E0647" w:rsidRPr="00EF468C">
        <w:rPr>
          <w:color w:val="000000" w:themeColor="text1"/>
          <w:lang w:val="en-AU"/>
        </w:rPr>
        <w:t>Rabian</w:t>
      </w:r>
      <w:proofErr w:type="spellEnd"/>
      <w:r w:rsidR="007E0647" w:rsidRPr="00EF468C">
        <w:rPr>
          <w:color w:val="000000" w:themeColor="text1"/>
          <w:lang w:val="en-AU"/>
        </w:rPr>
        <w:t>, 2008</w:t>
      </w:r>
      <w:r w:rsidR="00435B64" w:rsidRPr="00EF468C">
        <w:rPr>
          <w:color w:val="000000" w:themeColor="text1"/>
          <w:lang w:val="en-AU"/>
        </w:rPr>
        <w:t>)</w:t>
      </w:r>
      <w:r w:rsidR="009B126B" w:rsidRPr="00EF468C">
        <w:rPr>
          <w:color w:val="000000" w:themeColor="text1"/>
          <w:lang w:val="en-AU"/>
        </w:rPr>
        <w:t>.</w:t>
      </w:r>
      <w:r w:rsidR="00F11383" w:rsidRPr="00EF468C">
        <w:rPr>
          <w:color w:val="000000" w:themeColor="text1"/>
          <w:lang w:val="en-AU"/>
        </w:rPr>
        <w:t xml:space="preserve"> </w:t>
      </w:r>
      <w:r w:rsidR="002A51A2" w:rsidRPr="00EF468C">
        <w:rPr>
          <w:color w:val="000000" w:themeColor="text1"/>
          <w:lang w:val="en-AU"/>
        </w:rPr>
        <w:t xml:space="preserve">These relations are also important to explore as </w:t>
      </w:r>
      <w:r w:rsidR="002A51A2" w:rsidRPr="00EF468C">
        <w:rPr>
          <w:rFonts w:cs="Arial"/>
          <w:color w:val="000000" w:themeColor="text1"/>
          <w:lang w:val="en-AU" w:eastAsia="en-US"/>
        </w:rPr>
        <w:t>the incidence of anxiety disorder</w:t>
      </w:r>
      <w:r w:rsidR="00DF0ACF" w:rsidRPr="00EF468C">
        <w:rPr>
          <w:rFonts w:cs="Arial"/>
          <w:color w:val="000000" w:themeColor="text1"/>
          <w:lang w:val="en-AU" w:eastAsia="en-US"/>
        </w:rPr>
        <w:t>s</w:t>
      </w:r>
      <w:r w:rsidR="002A51A2" w:rsidRPr="00EF468C">
        <w:rPr>
          <w:rFonts w:cs="Arial"/>
          <w:color w:val="000000" w:themeColor="text1"/>
          <w:lang w:val="en-AU" w:eastAsia="en-US"/>
        </w:rPr>
        <w:t xml:space="preserve"> peaks in humans during the period of transition from childhood to adulthood (Kim and </w:t>
      </w:r>
      <w:proofErr w:type="spellStart"/>
      <w:r w:rsidR="002A51A2" w:rsidRPr="00EF468C">
        <w:rPr>
          <w:rFonts w:cs="Arial"/>
          <w:color w:val="000000" w:themeColor="text1"/>
          <w:lang w:val="en-AU" w:eastAsia="en-US"/>
        </w:rPr>
        <w:t>Ganella</w:t>
      </w:r>
      <w:proofErr w:type="spellEnd"/>
      <w:r w:rsidR="002A51A2" w:rsidRPr="00EF468C">
        <w:rPr>
          <w:rFonts w:cs="Arial"/>
          <w:color w:val="000000" w:themeColor="text1"/>
          <w:lang w:val="en-AU" w:eastAsia="en-US"/>
        </w:rPr>
        <w:t>, 2015).</w:t>
      </w:r>
      <w:r w:rsidR="002B7CE9" w:rsidRPr="00EF468C">
        <w:rPr>
          <w:rFonts w:cs="Arial"/>
          <w:color w:val="000000" w:themeColor="text1"/>
          <w:lang w:val="en-AU" w:eastAsia="en-US"/>
        </w:rPr>
        <w:t xml:space="preserve"> </w:t>
      </w:r>
      <w:r w:rsidR="006D0DB8" w:rsidRPr="00EF468C">
        <w:rPr>
          <w:rFonts w:cs="Arial"/>
          <w:color w:val="000000" w:themeColor="text1"/>
          <w:lang w:val="en-AU" w:eastAsia="en-US"/>
        </w:rPr>
        <w:t>T</w:t>
      </w:r>
      <w:r w:rsidR="002D51FC" w:rsidRPr="00EF468C">
        <w:rPr>
          <w:rFonts w:cs="Arial"/>
          <w:color w:val="000000" w:themeColor="text1"/>
          <w:lang w:val="en-AU" w:eastAsia="en-US"/>
        </w:rPr>
        <w:t xml:space="preserve">he next paragraph </w:t>
      </w:r>
      <w:r w:rsidR="007E0647" w:rsidRPr="00EF468C">
        <w:rPr>
          <w:rFonts w:cs="Arial"/>
          <w:color w:val="000000" w:themeColor="text1"/>
          <w:lang w:val="en-AU" w:eastAsia="en-US"/>
        </w:rPr>
        <w:t xml:space="preserve">further </w:t>
      </w:r>
      <w:r w:rsidR="002D51FC" w:rsidRPr="00EF468C">
        <w:rPr>
          <w:rFonts w:cs="Arial"/>
          <w:color w:val="000000" w:themeColor="text1"/>
          <w:lang w:val="en-AU" w:eastAsia="en-US"/>
        </w:rPr>
        <w:t xml:space="preserve">discusses the importance of peer networks and their </w:t>
      </w:r>
      <w:r w:rsidR="006D0DB8" w:rsidRPr="00EF468C">
        <w:rPr>
          <w:rFonts w:cs="Arial"/>
          <w:color w:val="000000" w:themeColor="text1"/>
          <w:lang w:val="en-AU" w:eastAsia="en-US"/>
        </w:rPr>
        <w:t>deficiencies</w:t>
      </w:r>
      <w:r w:rsidR="002D51FC" w:rsidRPr="00EF468C">
        <w:rPr>
          <w:rFonts w:cs="Arial"/>
          <w:color w:val="000000" w:themeColor="text1"/>
          <w:lang w:val="en-AU" w:eastAsia="en-US"/>
        </w:rPr>
        <w:t xml:space="preserve"> in the development of </w:t>
      </w:r>
      <w:r w:rsidR="006D0DB8" w:rsidRPr="00EF468C">
        <w:rPr>
          <w:rFonts w:cs="Arial"/>
          <w:color w:val="000000" w:themeColor="text1"/>
          <w:lang w:val="en-AU" w:eastAsia="en-US"/>
        </w:rPr>
        <w:t>psychopathology</w:t>
      </w:r>
      <w:r w:rsidR="002D51FC" w:rsidRPr="00EF468C">
        <w:rPr>
          <w:rFonts w:cs="Arial"/>
          <w:color w:val="000000" w:themeColor="text1"/>
          <w:lang w:val="en-AU" w:eastAsia="en-US"/>
        </w:rPr>
        <w:t>.</w:t>
      </w:r>
    </w:p>
    <w:p w:rsidR="002B7CE9" w:rsidRPr="00EF468C" w:rsidRDefault="002B7CE9" w:rsidP="002B7CE9">
      <w:pPr>
        <w:autoSpaceDE w:val="0"/>
        <w:autoSpaceDN w:val="0"/>
        <w:adjustRightInd w:val="0"/>
        <w:spacing w:line="480" w:lineRule="auto"/>
        <w:jc w:val="both"/>
        <w:rPr>
          <w:rFonts w:cs="Arial"/>
          <w:color w:val="000000" w:themeColor="text1"/>
          <w:lang w:val="en-AU" w:eastAsia="en-US"/>
        </w:rPr>
      </w:pPr>
    </w:p>
    <w:p w:rsidR="009B126B" w:rsidRPr="00EF468C" w:rsidRDefault="00B4495B" w:rsidP="00C37BC6">
      <w:pPr>
        <w:autoSpaceDE w:val="0"/>
        <w:autoSpaceDN w:val="0"/>
        <w:adjustRightInd w:val="0"/>
        <w:spacing w:line="480" w:lineRule="auto"/>
        <w:jc w:val="both"/>
        <w:outlineLvl w:val="0"/>
        <w:rPr>
          <w:b/>
          <w:i/>
          <w:lang w:val="en-AU"/>
        </w:rPr>
      </w:pPr>
      <w:r w:rsidRPr="00EF468C">
        <w:rPr>
          <w:b/>
          <w:i/>
          <w:lang w:val="en-AU"/>
        </w:rPr>
        <w:t>Deficiencies of social networks as a vulne</w:t>
      </w:r>
      <w:r w:rsidR="002B7CE9" w:rsidRPr="00EF468C">
        <w:rPr>
          <w:b/>
          <w:i/>
          <w:lang w:val="en-AU"/>
        </w:rPr>
        <w:t xml:space="preserve">rability factor for anxiety and </w:t>
      </w:r>
      <w:r w:rsidRPr="00EF468C">
        <w:rPr>
          <w:b/>
          <w:i/>
          <w:lang w:val="en-AU"/>
        </w:rPr>
        <w:t>depression disorders</w:t>
      </w:r>
    </w:p>
    <w:p w:rsidR="00B4495B" w:rsidRPr="00EF468C" w:rsidRDefault="003B2B78" w:rsidP="00B4495B">
      <w:pPr>
        <w:autoSpaceDE w:val="0"/>
        <w:autoSpaceDN w:val="0"/>
        <w:adjustRightInd w:val="0"/>
        <w:spacing w:line="480" w:lineRule="auto"/>
        <w:ind w:firstLine="708"/>
        <w:jc w:val="both"/>
        <w:rPr>
          <w:rStyle w:val="a"/>
          <w:lang w:val="en-AU"/>
        </w:rPr>
      </w:pPr>
      <w:r w:rsidRPr="00EF468C">
        <w:rPr>
          <w:lang w:val="en-AU"/>
        </w:rPr>
        <w:t xml:space="preserve">There is </w:t>
      </w:r>
      <w:proofErr w:type="gramStart"/>
      <w:r w:rsidR="007E0647" w:rsidRPr="00EF468C">
        <w:rPr>
          <w:lang w:val="en-AU"/>
        </w:rPr>
        <w:t>a</w:t>
      </w:r>
      <w:r w:rsidRPr="00EF468C">
        <w:rPr>
          <w:lang w:val="en-AU"/>
        </w:rPr>
        <w:t xml:space="preserve"> growing</w:t>
      </w:r>
      <w:proofErr w:type="gramEnd"/>
      <w:r w:rsidRPr="00EF468C">
        <w:rPr>
          <w:lang w:val="en-AU"/>
        </w:rPr>
        <w:t xml:space="preserve"> empirical evidence that deficiencies of social networks also present a relevant interpersonal variable for increased vulnerability to both anxiety and depression disorders (</w:t>
      </w:r>
      <w:proofErr w:type="spellStart"/>
      <w:r w:rsidRPr="00EF468C">
        <w:rPr>
          <w:lang w:val="en-AU"/>
        </w:rPr>
        <w:t>Bifulco</w:t>
      </w:r>
      <w:proofErr w:type="spellEnd"/>
      <w:r w:rsidRPr="00EF468C">
        <w:rPr>
          <w:lang w:val="en-AU"/>
        </w:rPr>
        <w:t xml:space="preserve"> et al, 2006). Some authors even argue that by adolescence, peers as attachment figures, compared to parents, may be just as influential, as adolescents begin to rely on peers more often than parents as sources of support. Furthermore, </w:t>
      </w:r>
      <w:proofErr w:type="spellStart"/>
      <w:r w:rsidRPr="00EF468C">
        <w:rPr>
          <w:lang w:val="en-AU"/>
        </w:rPr>
        <w:t>Laible</w:t>
      </w:r>
      <w:proofErr w:type="spellEnd"/>
      <w:r w:rsidRPr="00EF468C">
        <w:rPr>
          <w:lang w:val="en-AU"/>
        </w:rPr>
        <w:t xml:space="preserve">, Carlo and </w:t>
      </w:r>
      <w:proofErr w:type="spellStart"/>
      <w:r w:rsidRPr="00EF468C">
        <w:rPr>
          <w:lang w:val="en-AU"/>
        </w:rPr>
        <w:t>Raffaelli</w:t>
      </w:r>
      <w:proofErr w:type="spellEnd"/>
      <w:r w:rsidRPr="00EF468C">
        <w:rPr>
          <w:lang w:val="en-AU"/>
        </w:rPr>
        <w:t xml:space="preserve"> (2000) reported that adolescents low on parent but high on peer attachment were better adjusted than those high on parent but low on peer attachment. The authors sug</w:t>
      </w:r>
      <w:r w:rsidR="005C26B2" w:rsidRPr="00EF468C">
        <w:rPr>
          <w:lang w:val="en-AU"/>
        </w:rPr>
        <w:t xml:space="preserve">gested that peer attachment </w:t>
      </w:r>
      <w:r w:rsidR="00853217" w:rsidRPr="00EF468C">
        <w:rPr>
          <w:lang w:val="en-AU"/>
        </w:rPr>
        <w:t>might</w:t>
      </w:r>
      <w:r w:rsidR="005C26B2" w:rsidRPr="00EF468C">
        <w:rPr>
          <w:lang w:val="en-AU"/>
        </w:rPr>
        <w:t xml:space="preserve"> </w:t>
      </w:r>
      <w:r w:rsidRPr="00EF468C">
        <w:rPr>
          <w:lang w:val="en-AU"/>
        </w:rPr>
        <w:t xml:space="preserve">be relatively more influential on psychological adjustment in later life than parent attachment. </w:t>
      </w:r>
      <w:r w:rsidRPr="00EF468C">
        <w:rPr>
          <w:rStyle w:val="a"/>
          <w:lang w:val="en-AU"/>
        </w:rPr>
        <w:t xml:space="preserve">Some authors also imply that perceived peer social support during stressful life events yields positive outcomes in regard to problem solving skills that play an important role in individual’s </w:t>
      </w:r>
      <w:r w:rsidR="007E0647" w:rsidRPr="00EF468C">
        <w:rPr>
          <w:rStyle w:val="a"/>
          <w:lang w:val="en-AU"/>
        </w:rPr>
        <w:t>wellbeing</w:t>
      </w:r>
      <w:r w:rsidRPr="00EF468C">
        <w:rPr>
          <w:rStyle w:val="a"/>
          <w:lang w:val="en-AU"/>
        </w:rPr>
        <w:t xml:space="preserve"> (</w:t>
      </w:r>
      <w:proofErr w:type="spellStart"/>
      <w:r w:rsidRPr="00EF468C">
        <w:rPr>
          <w:rStyle w:val="a"/>
          <w:lang w:val="en-AU"/>
        </w:rPr>
        <w:t>Eldeleklioglu</w:t>
      </w:r>
      <w:proofErr w:type="spellEnd"/>
      <w:r w:rsidRPr="00EF468C">
        <w:rPr>
          <w:rStyle w:val="a"/>
          <w:lang w:val="en-AU"/>
        </w:rPr>
        <w:t>, 2006). The importance of perceived social</w:t>
      </w:r>
      <w:r w:rsidR="005C26B2" w:rsidRPr="00EF468C">
        <w:rPr>
          <w:rStyle w:val="a"/>
          <w:lang w:val="en-AU"/>
        </w:rPr>
        <w:t xml:space="preserve"> support in the development of </w:t>
      </w:r>
      <w:r w:rsidRPr="00EF468C">
        <w:rPr>
          <w:rStyle w:val="a"/>
          <w:lang w:val="en-AU"/>
        </w:rPr>
        <w:t xml:space="preserve">individual's coping skills with stressful events has been supported by research (Cohen &amp; </w:t>
      </w:r>
      <w:proofErr w:type="spellStart"/>
      <w:r w:rsidRPr="00EF468C">
        <w:rPr>
          <w:rStyle w:val="a"/>
          <w:lang w:val="en-AU"/>
        </w:rPr>
        <w:t>Hoberman</w:t>
      </w:r>
      <w:proofErr w:type="spellEnd"/>
      <w:r w:rsidRPr="00EF468C">
        <w:rPr>
          <w:rStyle w:val="a"/>
          <w:lang w:val="en-AU"/>
        </w:rPr>
        <w:t xml:space="preserve">, 1983; </w:t>
      </w:r>
      <w:proofErr w:type="spellStart"/>
      <w:r w:rsidR="007E0647" w:rsidRPr="00EF468C">
        <w:rPr>
          <w:rStyle w:val="a"/>
          <w:lang w:val="en-AU"/>
        </w:rPr>
        <w:t>Cornwel</w:t>
      </w:r>
      <w:proofErr w:type="spellEnd"/>
      <w:r w:rsidR="007E0647" w:rsidRPr="00EF468C">
        <w:rPr>
          <w:rStyle w:val="a"/>
          <w:lang w:val="en-AU"/>
        </w:rPr>
        <w:t xml:space="preserve">, 2003; </w:t>
      </w:r>
      <w:r w:rsidRPr="00EF468C">
        <w:rPr>
          <w:rStyle w:val="a"/>
          <w:lang w:val="en-AU"/>
        </w:rPr>
        <w:t xml:space="preserve">Coyne &amp; Downey, 1991; </w:t>
      </w:r>
      <w:proofErr w:type="spellStart"/>
      <w:r w:rsidRPr="00EF468C">
        <w:rPr>
          <w:rStyle w:val="a"/>
          <w:lang w:val="en-AU"/>
        </w:rPr>
        <w:t>Sarason</w:t>
      </w:r>
      <w:proofErr w:type="spellEnd"/>
      <w:r w:rsidRPr="00EF468C">
        <w:rPr>
          <w:rStyle w:val="a"/>
          <w:lang w:val="en-AU"/>
        </w:rPr>
        <w:t xml:space="preserve">, </w:t>
      </w:r>
      <w:proofErr w:type="spellStart"/>
      <w:r w:rsidRPr="00EF468C">
        <w:rPr>
          <w:rStyle w:val="a"/>
          <w:lang w:val="en-AU"/>
        </w:rPr>
        <w:t>Sarason</w:t>
      </w:r>
      <w:proofErr w:type="spellEnd"/>
      <w:r w:rsidRPr="00EF468C">
        <w:rPr>
          <w:rStyle w:val="a"/>
          <w:lang w:val="en-AU"/>
        </w:rPr>
        <w:t xml:space="preserve">, &amp; </w:t>
      </w:r>
      <w:proofErr w:type="spellStart"/>
      <w:r w:rsidRPr="00EF468C">
        <w:rPr>
          <w:rStyle w:val="a"/>
          <w:lang w:val="en-AU"/>
        </w:rPr>
        <w:t>Shearin</w:t>
      </w:r>
      <w:proofErr w:type="spellEnd"/>
      <w:r w:rsidRPr="00EF468C">
        <w:rPr>
          <w:rStyle w:val="a"/>
          <w:lang w:val="en-AU"/>
        </w:rPr>
        <w:t xml:space="preserve">, 1986; Slater &amp; </w:t>
      </w:r>
      <w:proofErr w:type="spellStart"/>
      <w:r w:rsidRPr="00EF468C">
        <w:rPr>
          <w:rStyle w:val="a"/>
          <w:lang w:val="en-AU"/>
        </w:rPr>
        <w:t>Depue</w:t>
      </w:r>
      <w:proofErr w:type="spellEnd"/>
      <w:r w:rsidRPr="00EF468C">
        <w:rPr>
          <w:rStyle w:val="a"/>
          <w:lang w:val="en-AU"/>
        </w:rPr>
        <w:t xml:space="preserve">, 1981) where the lack of social support </w:t>
      </w:r>
      <w:r w:rsidRPr="00EF468C">
        <w:rPr>
          <w:rStyle w:val="a"/>
          <w:lang w:val="en-AU"/>
        </w:rPr>
        <w:lastRenderedPageBreak/>
        <w:t xml:space="preserve">was significantly related to loneliness, suicide risk and negative outcomes of various physical illnesses, as well as symptoms of anxiety and depression. </w:t>
      </w:r>
    </w:p>
    <w:p w:rsidR="00B4495B" w:rsidRPr="00EF468C" w:rsidRDefault="00B4495B" w:rsidP="00B4495B">
      <w:pPr>
        <w:autoSpaceDE w:val="0"/>
        <w:autoSpaceDN w:val="0"/>
        <w:adjustRightInd w:val="0"/>
        <w:spacing w:line="480" w:lineRule="auto"/>
        <w:ind w:firstLine="708"/>
        <w:jc w:val="both"/>
        <w:rPr>
          <w:rStyle w:val="a"/>
          <w:lang w:val="en-AU"/>
        </w:rPr>
      </w:pPr>
    </w:p>
    <w:p w:rsidR="003B2B78" w:rsidRPr="00EF468C" w:rsidRDefault="002B7CE9" w:rsidP="00C37BC6">
      <w:pPr>
        <w:autoSpaceDE w:val="0"/>
        <w:autoSpaceDN w:val="0"/>
        <w:adjustRightInd w:val="0"/>
        <w:spacing w:line="480" w:lineRule="auto"/>
        <w:jc w:val="both"/>
        <w:outlineLvl w:val="0"/>
        <w:rPr>
          <w:b/>
          <w:i/>
          <w:lang w:val="en-AU"/>
        </w:rPr>
      </w:pPr>
      <w:r w:rsidRPr="00EF468C">
        <w:rPr>
          <w:rStyle w:val="a"/>
          <w:b/>
          <w:i/>
          <w:lang w:val="en-AU"/>
        </w:rPr>
        <w:t>Current research findings on t</w:t>
      </w:r>
      <w:r w:rsidR="00B4495B" w:rsidRPr="00EF468C">
        <w:rPr>
          <w:rStyle w:val="a"/>
          <w:b/>
          <w:i/>
          <w:lang w:val="en-AU"/>
        </w:rPr>
        <w:t xml:space="preserve">he relations between </w:t>
      </w:r>
      <w:r w:rsidR="00980BDF" w:rsidRPr="00EF468C">
        <w:rPr>
          <w:b/>
          <w:i/>
          <w:lang w:val="en-AU"/>
        </w:rPr>
        <w:t>generalized anxiety disorder, anxiety sensitivity</w:t>
      </w:r>
      <w:r w:rsidR="00B4495B" w:rsidRPr="00EF468C">
        <w:rPr>
          <w:rStyle w:val="a"/>
          <w:b/>
          <w:i/>
          <w:lang w:val="en-AU"/>
        </w:rPr>
        <w:t>, worry and parent and peer alienation</w:t>
      </w:r>
    </w:p>
    <w:p w:rsidR="002B7CE9" w:rsidRPr="00EF468C" w:rsidRDefault="003B2B78" w:rsidP="003B2B78">
      <w:pPr>
        <w:spacing w:line="480" w:lineRule="auto"/>
        <w:ind w:firstLine="708"/>
        <w:jc w:val="both"/>
        <w:rPr>
          <w:lang w:val="en-AU"/>
        </w:rPr>
      </w:pPr>
      <w:r w:rsidRPr="00EF468C">
        <w:rPr>
          <w:lang w:val="en-AU"/>
        </w:rPr>
        <w:t xml:space="preserve"> To our knowledge, there has been </w:t>
      </w:r>
      <w:r w:rsidR="007E0647" w:rsidRPr="00EF468C">
        <w:rPr>
          <w:lang w:val="en-AU"/>
        </w:rPr>
        <w:t>only one</w:t>
      </w:r>
      <w:r w:rsidRPr="00EF468C">
        <w:rPr>
          <w:lang w:val="en-AU"/>
        </w:rPr>
        <w:t xml:space="preserve"> research that investigated the relations of AS, GAD, worry and perceived parent and peer attachment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In this research, the authors reported that even after controlling for worry and GAD symptoms, greater perceptions of alienation from mothers and peers were significantly associated with higher AS symptoms. However, the study was conducted on a non-clinical sample and the </w:t>
      </w:r>
      <w:r w:rsidR="00853217" w:rsidRPr="00EF468C">
        <w:rPr>
          <w:lang w:val="en-AU"/>
        </w:rPr>
        <w:t>authors have noted the necessity of further investigation of these relations in individuals with clinical levels of worry</w:t>
      </w:r>
      <w:r w:rsidRPr="00EF468C">
        <w:rPr>
          <w:lang w:val="en-AU"/>
        </w:rPr>
        <w:t xml:space="preserve">. </w:t>
      </w:r>
    </w:p>
    <w:p w:rsidR="001A5443" w:rsidRPr="00EF468C" w:rsidRDefault="001A5443" w:rsidP="00C37BC6">
      <w:pPr>
        <w:spacing w:line="480" w:lineRule="auto"/>
        <w:jc w:val="both"/>
        <w:outlineLvl w:val="0"/>
        <w:rPr>
          <w:b/>
          <w:i/>
          <w:lang w:val="en-AU"/>
        </w:rPr>
      </w:pPr>
    </w:p>
    <w:p w:rsidR="003B2B78" w:rsidRPr="00EF468C" w:rsidRDefault="002B7CE9" w:rsidP="00C37BC6">
      <w:pPr>
        <w:spacing w:line="480" w:lineRule="auto"/>
        <w:jc w:val="both"/>
        <w:outlineLvl w:val="0"/>
        <w:rPr>
          <w:b/>
          <w:i/>
          <w:lang w:val="en-AU"/>
        </w:rPr>
      </w:pPr>
      <w:r w:rsidRPr="00EF468C">
        <w:rPr>
          <w:b/>
          <w:i/>
          <w:lang w:val="en-AU"/>
        </w:rPr>
        <w:t xml:space="preserve">Goals and </w:t>
      </w:r>
      <w:r w:rsidR="00E1530E" w:rsidRPr="00EF468C">
        <w:rPr>
          <w:b/>
          <w:i/>
          <w:lang w:val="en-AU"/>
        </w:rPr>
        <w:t>hypotheses</w:t>
      </w:r>
    </w:p>
    <w:p w:rsidR="003B2B78" w:rsidRPr="00EF468C" w:rsidRDefault="001A5443" w:rsidP="003B2B78">
      <w:pPr>
        <w:spacing w:line="480" w:lineRule="auto"/>
        <w:ind w:firstLine="708"/>
        <w:jc w:val="both"/>
        <w:rPr>
          <w:lang w:val="en-AU"/>
        </w:rPr>
      </w:pPr>
      <w:r w:rsidRPr="00EF468C">
        <w:rPr>
          <w:lang w:val="en-AU"/>
        </w:rPr>
        <w:t>O</w:t>
      </w:r>
      <w:r w:rsidR="003B2B78" w:rsidRPr="00EF468C">
        <w:rPr>
          <w:lang w:val="en-AU"/>
        </w:rPr>
        <w:t>ur goal was to further investigate the relations between AS, worry, GAD and parent and peer attachment, more specifically – perceived parent and peer alienation on a clinical sample. Concerning the established relations between these constructs (</w:t>
      </w:r>
      <w:proofErr w:type="spellStart"/>
      <w:r w:rsidR="003B2B78" w:rsidRPr="00EF468C">
        <w:rPr>
          <w:lang w:val="en-AU"/>
        </w:rPr>
        <w:t>Viana</w:t>
      </w:r>
      <w:proofErr w:type="spellEnd"/>
      <w:r w:rsidR="003B2B78" w:rsidRPr="00EF468C">
        <w:rPr>
          <w:lang w:val="en-AU"/>
        </w:rPr>
        <w:t xml:space="preserve"> &amp; </w:t>
      </w:r>
      <w:proofErr w:type="spellStart"/>
      <w:r w:rsidR="003B2B78" w:rsidRPr="00EF468C">
        <w:rPr>
          <w:lang w:val="en-AU"/>
        </w:rPr>
        <w:t>Rabian</w:t>
      </w:r>
      <w:proofErr w:type="spellEnd"/>
      <w:r w:rsidR="003B2B78" w:rsidRPr="00EF468C">
        <w:rPr>
          <w:lang w:val="en-AU"/>
        </w:rPr>
        <w:t xml:space="preserve">, 2008) and the notion that poor peer attachment may be of greater importance for the development of psychopathology in later life, we hypothesized the following: perceived alienation from peers, rather than parents would show statistically significant relation to worry, GAD and AS on a sample of adult individuals with pathological levels of worry. We also hypothesized that AS would mediate the relation between perceptions of alienation from peers and current worry and GAD symptoms.  </w:t>
      </w:r>
    </w:p>
    <w:p w:rsidR="003B2B78" w:rsidRPr="00EF468C" w:rsidRDefault="003B2B78" w:rsidP="003B2B78">
      <w:pPr>
        <w:spacing w:line="480" w:lineRule="auto"/>
        <w:ind w:firstLine="708"/>
        <w:jc w:val="both"/>
        <w:rPr>
          <w:lang w:val="en-AU"/>
        </w:rPr>
      </w:pPr>
    </w:p>
    <w:p w:rsidR="003B2B78" w:rsidRPr="00EF468C" w:rsidRDefault="003B2B78" w:rsidP="00C37BC6">
      <w:pPr>
        <w:spacing w:line="480" w:lineRule="auto"/>
        <w:jc w:val="both"/>
        <w:outlineLvl w:val="0"/>
        <w:rPr>
          <w:lang w:val="en-AU"/>
        </w:rPr>
      </w:pPr>
      <w:r w:rsidRPr="00EF468C">
        <w:rPr>
          <w:b/>
          <w:lang w:val="en-AU"/>
        </w:rPr>
        <w:t>METHOD</w:t>
      </w:r>
    </w:p>
    <w:p w:rsidR="003B2B78" w:rsidRPr="00EF468C" w:rsidRDefault="005D6EF7" w:rsidP="00C37BC6">
      <w:pPr>
        <w:spacing w:line="480" w:lineRule="auto"/>
        <w:jc w:val="both"/>
        <w:outlineLvl w:val="0"/>
        <w:rPr>
          <w:b/>
          <w:lang w:val="en-AU"/>
        </w:rPr>
      </w:pPr>
      <w:r w:rsidRPr="00EF468C">
        <w:rPr>
          <w:b/>
          <w:lang w:val="en-AU"/>
        </w:rPr>
        <w:lastRenderedPageBreak/>
        <w:t>Sample and Data Collection</w:t>
      </w:r>
    </w:p>
    <w:p w:rsidR="003B2B78" w:rsidRPr="00EF468C" w:rsidRDefault="00ED1975" w:rsidP="009B126B">
      <w:pPr>
        <w:autoSpaceDE w:val="0"/>
        <w:autoSpaceDN w:val="0"/>
        <w:adjustRightInd w:val="0"/>
        <w:spacing w:line="480" w:lineRule="auto"/>
        <w:jc w:val="both"/>
        <w:rPr>
          <w:color w:val="000000" w:themeColor="text1"/>
          <w:lang w:val="en-AU"/>
        </w:rPr>
      </w:pPr>
      <w:r w:rsidRPr="00EF468C">
        <w:rPr>
          <w:rFonts w:eastAsia="MinionPro-Regular"/>
          <w:i/>
          <w:lang w:val="en-AU"/>
        </w:rPr>
        <w:t>XX</w:t>
      </w:r>
      <w:r w:rsidR="00853217" w:rsidRPr="00EF468C">
        <w:rPr>
          <w:rFonts w:eastAsia="MinionPro-Regular"/>
          <w:lang w:val="en-AU"/>
        </w:rPr>
        <w:t xml:space="preserve"> Institutional Review Board</w:t>
      </w:r>
      <w:r w:rsidRPr="00EF468C">
        <w:rPr>
          <w:rFonts w:eastAsia="MinionPro-Regular"/>
          <w:lang w:val="en-AU"/>
        </w:rPr>
        <w:t xml:space="preserve"> (Ethics Committee) – </w:t>
      </w:r>
      <w:r w:rsidRPr="00EF468C">
        <w:rPr>
          <w:rFonts w:eastAsia="MinionPro-Regular"/>
          <w:i/>
          <w:lang w:val="en-AU"/>
        </w:rPr>
        <w:t>removed for peer review</w:t>
      </w:r>
      <w:r w:rsidR="00853217" w:rsidRPr="00EF468C">
        <w:rPr>
          <w:rFonts w:eastAsia="MinionPro-Regular"/>
          <w:lang w:val="en-AU"/>
        </w:rPr>
        <w:t xml:space="preserve"> approved this study</w:t>
      </w:r>
      <w:r w:rsidR="003B2B78" w:rsidRPr="00EF468C">
        <w:rPr>
          <w:rFonts w:eastAsia="MinionPro-Regular"/>
          <w:lang w:val="en-AU"/>
        </w:rPr>
        <w:t xml:space="preserve">. </w:t>
      </w:r>
      <w:r w:rsidR="003B2B78" w:rsidRPr="00EF468C">
        <w:rPr>
          <w:lang w:val="en-AU"/>
        </w:rPr>
        <w:t xml:space="preserve">During their regular visit to the </w:t>
      </w:r>
      <w:r w:rsidR="00CD6A86" w:rsidRPr="00EF468C">
        <w:rPr>
          <w:rFonts w:eastAsia="MinionPro-Regular"/>
          <w:i/>
          <w:lang w:val="en-AU"/>
        </w:rPr>
        <w:t>XX</w:t>
      </w:r>
      <w:r w:rsidR="00CD6A86" w:rsidRPr="00EF468C">
        <w:rPr>
          <w:rFonts w:eastAsia="MinionPro-Regular"/>
          <w:lang w:val="en-AU"/>
        </w:rPr>
        <w:t xml:space="preserve"> institution – </w:t>
      </w:r>
      <w:r w:rsidR="00CD6A86" w:rsidRPr="00EF468C">
        <w:rPr>
          <w:rFonts w:eastAsia="MinionPro-Regular"/>
          <w:i/>
          <w:lang w:val="en-AU"/>
        </w:rPr>
        <w:t>removed for peer review</w:t>
      </w:r>
      <w:r w:rsidR="003B2B78" w:rsidRPr="00EF468C">
        <w:rPr>
          <w:lang w:val="en-AU"/>
        </w:rPr>
        <w:t xml:space="preserve">, patients were informed about the research and asked to participate. Once signed informed consent was obtained, participants were informed that they could leave questions unanswered and/or refrain from participation at any point without adverse consequences. Participants were then given a package containing all the questionnaires. </w:t>
      </w:r>
      <w:r w:rsidR="009B126B" w:rsidRPr="00EF468C">
        <w:rPr>
          <w:color w:val="000000" w:themeColor="text1"/>
          <w:lang w:val="en-AU"/>
        </w:rPr>
        <w:t>Ten participants refused to participate in the research before they were informed about the research’s goals.</w:t>
      </w:r>
    </w:p>
    <w:p w:rsidR="003B2B78" w:rsidRPr="00EF468C" w:rsidRDefault="009B126B" w:rsidP="003B2B78">
      <w:pPr>
        <w:autoSpaceDE w:val="0"/>
        <w:autoSpaceDN w:val="0"/>
        <w:adjustRightInd w:val="0"/>
        <w:spacing w:line="480" w:lineRule="auto"/>
        <w:jc w:val="both"/>
        <w:rPr>
          <w:color w:val="000000" w:themeColor="text1"/>
          <w:lang w:val="en-AU"/>
        </w:rPr>
      </w:pPr>
      <w:r w:rsidRPr="00EF468C">
        <w:rPr>
          <w:color w:val="000000" w:themeColor="text1"/>
          <w:lang w:val="en-AU"/>
        </w:rPr>
        <w:t xml:space="preserve">The research was conducted during a one-month period. </w:t>
      </w:r>
      <w:r w:rsidR="003B2B78" w:rsidRPr="00EF468C">
        <w:rPr>
          <w:color w:val="000000" w:themeColor="text1"/>
          <w:lang w:val="en-AU"/>
        </w:rPr>
        <w:t xml:space="preserve">Our sample consisted of </w:t>
      </w:r>
      <w:r w:rsidR="00E572BF" w:rsidRPr="00EF468C">
        <w:rPr>
          <w:color w:val="000000" w:themeColor="text1"/>
          <w:lang w:val="en-AU"/>
        </w:rPr>
        <w:t>80</w:t>
      </w:r>
      <w:r w:rsidR="003B2B78" w:rsidRPr="00EF468C">
        <w:rPr>
          <w:color w:val="000000" w:themeColor="text1"/>
          <w:lang w:val="en-AU"/>
        </w:rPr>
        <w:t xml:space="preserve"> patients</w:t>
      </w:r>
      <w:r w:rsidR="003B2B78" w:rsidRPr="00EF468C">
        <w:rPr>
          <w:lang w:val="en-AU"/>
        </w:rPr>
        <w:t xml:space="preserve"> of </w:t>
      </w:r>
      <w:r w:rsidR="00ED1975" w:rsidRPr="00EF468C">
        <w:rPr>
          <w:rFonts w:eastAsia="MinionPro-Regular"/>
          <w:i/>
          <w:lang w:val="en-AU"/>
        </w:rPr>
        <w:t>XX</w:t>
      </w:r>
      <w:r w:rsidR="00ED1975" w:rsidRPr="00EF468C">
        <w:rPr>
          <w:rFonts w:eastAsia="MinionPro-Regular"/>
          <w:lang w:val="en-AU"/>
        </w:rPr>
        <w:t xml:space="preserve"> institution – </w:t>
      </w:r>
      <w:r w:rsidR="00ED1975" w:rsidRPr="00EF468C">
        <w:rPr>
          <w:rFonts w:eastAsia="MinionPro-Regular"/>
          <w:i/>
          <w:lang w:val="en-AU"/>
        </w:rPr>
        <w:t>removed for peer review</w:t>
      </w:r>
      <w:r w:rsidR="003B2B78" w:rsidRPr="00EF468C">
        <w:rPr>
          <w:lang w:val="en-AU"/>
        </w:rPr>
        <w:t xml:space="preserve">. </w:t>
      </w:r>
      <w:r w:rsidR="003B2B78" w:rsidRPr="00EF468C">
        <w:rPr>
          <w:rFonts w:eastAsia="MinionPro-Regular"/>
          <w:lang w:val="en-AU"/>
        </w:rPr>
        <w:t xml:space="preserve">All participants provided demographic information about age, gender, education, and marital status. </w:t>
      </w:r>
      <w:r w:rsidR="003B2B78" w:rsidRPr="00EF468C">
        <w:rPr>
          <w:lang w:val="en-AU"/>
        </w:rPr>
        <w:t>Participants were given a direction to enter all the diagnosis codes (ICD-10) from their last psychiatric control paper in the space provided in the questionnaire. Only participants with diagnosed anxiety or depression disorder without comorbidity were taken into consideration for further analysis</w:t>
      </w:r>
      <w:r w:rsidRPr="00EF468C">
        <w:rPr>
          <w:lang w:val="en-AU"/>
        </w:rPr>
        <w:t xml:space="preserve">, </w:t>
      </w:r>
      <w:r w:rsidRPr="00EF468C">
        <w:rPr>
          <w:color w:val="000000" w:themeColor="text1"/>
          <w:lang w:val="en-AU"/>
        </w:rPr>
        <w:t>therefore 8 participants were excluded from further analysis. Statistical analyses were performed on a total of 72</w:t>
      </w:r>
      <w:r w:rsidR="005D6EF7" w:rsidRPr="00EF468C">
        <w:rPr>
          <w:color w:val="000000" w:themeColor="text1"/>
          <w:lang w:val="en-AU"/>
        </w:rPr>
        <w:t xml:space="preserve"> </w:t>
      </w:r>
      <w:r w:rsidR="00341739" w:rsidRPr="00EF468C">
        <w:rPr>
          <w:color w:val="000000" w:themeColor="text1"/>
          <w:lang w:val="en-AU"/>
        </w:rPr>
        <w:t>(90%)</w:t>
      </w:r>
      <w:r w:rsidRPr="00EF468C">
        <w:rPr>
          <w:color w:val="000000" w:themeColor="text1"/>
          <w:lang w:val="en-AU"/>
        </w:rPr>
        <w:t xml:space="preserve"> patients</w:t>
      </w:r>
      <w:r w:rsidR="003B2B78" w:rsidRPr="00EF468C">
        <w:rPr>
          <w:color w:val="000000" w:themeColor="text1"/>
          <w:lang w:val="en-AU"/>
        </w:rPr>
        <w:t xml:space="preserve">. </w:t>
      </w:r>
      <w:r w:rsidR="00712CD3" w:rsidRPr="00EF468C">
        <w:rPr>
          <w:color w:val="000000" w:themeColor="text1"/>
          <w:lang w:val="en-AU"/>
        </w:rPr>
        <w:t xml:space="preserve">Our intended sample was 94 as calculated by </w:t>
      </w:r>
      <w:proofErr w:type="spellStart"/>
      <w:r w:rsidR="00712CD3" w:rsidRPr="00EF468C">
        <w:rPr>
          <w:i/>
          <w:color w:val="000000" w:themeColor="text1"/>
          <w:lang w:val="en-AU"/>
        </w:rPr>
        <w:t>Raosoft</w:t>
      </w:r>
      <w:proofErr w:type="spellEnd"/>
      <w:r w:rsidR="00712CD3" w:rsidRPr="00EF468C">
        <w:rPr>
          <w:color w:val="000000" w:themeColor="text1"/>
          <w:lang w:val="en-AU"/>
        </w:rPr>
        <w:t xml:space="preserve"> </w:t>
      </w:r>
      <w:r w:rsidR="00712CD3" w:rsidRPr="00EF468C">
        <w:rPr>
          <w:i/>
          <w:color w:val="000000" w:themeColor="text1"/>
          <w:lang w:val="en-AU"/>
        </w:rPr>
        <w:t>Sample size calculator</w:t>
      </w:r>
      <w:r w:rsidR="00712CD3" w:rsidRPr="00EF468C">
        <w:rPr>
          <w:color w:val="000000" w:themeColor="text1"/>
          <w:lang w:val="en-AU"/>
        </w:rPr>
        <w:t xml:space="preserve"> with an accepted margin of error of 5%, and confidence level of 95%. </w:t>
      </w:r>
    </w:p>
    <w:p w:rsidR="003B2B78" w:rsidRPr="00EF468C" w:rsidRDefault="00341739" w:rsidP="003B2B78">
      <w:pPr>
        <w:spacing w:line="480" w:lineRule="auto"/>
        <w:jc w:val="both"/>
        <w:rPr>
          <w:lang w:val="en-AU"/>
        </w:rPr>
      </w:pPr>
      <w:r w:rsidRPr="00EF468C">
        <w:rPr>
          <w:lang w:val="en-AU"/>
        </w:rPr>
        <w:t xml:space="preserve">All participants were Caucasian ethnicity. </w:t>
      </w:r>
      <w:r w:rsidR="003B2B78" w:rsidRPr="00EF468C">
        <w:rPr>
          <w:lang w:val="en-AU"/>
        </w:rPr>
        <w:t>Thirty-five (48.6%) participants were men (M</w:t>
      </w:r>
      <w:r w:rsidR="003B2B78" w:rsidRPr="00EF468C">
        <w:rPr>
          <w:vertAlign w:val="subscript"/>
          <w:lang w:val="en-AU"/>
        </w:rPr>
        <w:t>age</w:t>
      </w:r>
      <w:r w:rsidR="00712CD3" w:rsidRPr="00EF468C">
        <w:rPr>
          <w:lang w:val="en-AU"/>
        </w:rPr>
        <w:t xml:space="preserve"> =44.2, SD=13.46; range = 22–</w:t>
      </w:r>
      <w:r w:rsidR="003B2B78" w:rsidRPr="00EF468C">
        <w:rPr>
          <w:lang w:val="en-AU"/>
        </w:rPr>
        <w:t>75) and 37 (51.2%) were women (M</w:t>
      </w:r>
      <w:r w:rsidR="00B81195" w:rsidRPr="00EF468C">
        <w:rPr>
          <w:vertAlign w:val="subscript"/>
          <w:lang w:val="en-AU"/>
        </w:rPr>
        <w:t>age</w:t>
      </w:r>
      <w:r w:rsidR="003B2B78" w:rsidRPr="00EF468C">
        <w:rPr>
          <w:lang w:val="en-AU"/>
        </w:rPr>
        <w:t>= 41.1 years, SD=13.51, range 20 – 84). There was no statistically significant gender difference in age (t= .33, p &gt;.05). Most of the sample had high school degree (65%), 15% had bachelor and 11% had graduate or higher degree, while 8% finished primary school. Diagnoses were from the spectrum of anxiety (70%) and depression (30%)</w:t>
      </w:r>
      <w:r w:rsidR="007D07EA" w:rsidRPr="00EF468C">
        <w:rPr>
          <w:lang w:val="en-AU"/>
        </w:rPr>
        <w:t xml:space="preserve"> </w:t>
      </w:r>
      <w:proofErr w:type="gramStart"/>
      <w:r w:rsidR="007D07EA" w:rsidRPr="00EF468C">
        <w:rPr>
          <w:lang w:val="en-AU"/>
        </w:rPr>
        <w:t>(Table 1)</w:t>
      </w:r>
      <w:r w:rsidR="003B2B78" w:rsidRPr="00EF468C">
        <w:rPr>
          <w:lang w:val="en-AU"/>
        </w:rPr>
        <w:t>.</w:t>
      </w:r>
      <w:proofErr w:type="gramEnd"/>
      <w:r w:rsidR="003B2B78" w:rsidRPr="00EF468C">
        <w:rPr>
          <w:lang w:val="en-AU"/>
        </w:rPr>
        <w:t xml:space="preserve"> </w:t>
      </w:r>
    </w:p>
    <w:p w:rsidR="003B2B78" w:rsidRPr="00EF468C" w:rsidRDefault="003B2B78" w:rsidP="003B2B78">
      <w:pPr>
        <w:spacing w:line="480" w:lineRule="auto"/>
        <w:jc w:val="both"/>
        <w:rPr>
          <w:lang w:val="en-AU"/>
        </w:rPr>
      </w:pPr>
    </w:p>
    <w:p w:rsidR="003B2B78" w:rsidRPr="00EF468C" w:rsidRDefault="003B2B78" w:rsidP="00C37BC6">
      <w:pPr>
        <w:spacing w:line="480" w:lineRule="auto"/>
        <w:jc w:val="both"/>
        <w:outlineLvl w:val="0"/>
        <w:rPr>
          <w:b/>
          <w:lang w:val="en-AU"/>
        </w:rPr>
      </w:pPr>
      <w:r w:rsidRPr="00EF468C">
        <w:rPr>
          <w:b/>
          <w:lang w:val="en-AU"/>
        </w:rPr>
        <w:lastRenderedPageBreak/>
        <w:t xml:space="preserve">MEASURES </w:t>
      </w:r>
    </w:p>
    <w:p w:rsidR="003B2B78" w:rsidRPr="00EF468C" w:rsidRDefault="003B2B78" w:rsidP="003B2B78">
      <w:pPr>
        <w:spacing w:line="480" w:lineRule="auto"/>
        <w:jc w:val="both"/>
        <w:rPr>
          <w:lang w:val="en-AU"/>
        </w:rPr>
      </w:pPr>
      <w:r w:rsidRPr="00EF468C">
        <w:rPr>
          <w:i/>
          <w:lang w:val="en-AU"/>
        </w:rPr>
        <w:t xml:space="preserve">Generalized Anxiety Disorder Questionnaire-IV </w:t>
      </w:r>
      <w:r w:rsidRPr="00EF468C">
        <w:rPr>
          <w:lang w:val="en-AU"/>
        </w:rPr>
        <w:t>(GAD-Q-IV; Newman et al., 2002)</w:t>
      </w:r>
    </w:p>
    <w:p w:rsidR="003B2B78" w:rsidRPr="00EF468C" w:rsidRDefault="003B2B78" w:rsidP="003B2B78">
      <w:pPr>
        <w:spacing w:line="480" w:lineRule="auto"/>
        <w:jc w:val="both"/>
        <w:rPr>
          <w:lang w:val="en-AU"/>
        </w:rPr>
      </w:pPr>
      <w:r w:rsidRPr="00EF468C">
        <w:rPr>
          <w:lang w:val="en-AU"/>
        </w:rPr>
        <w:t xml:space="preserve">GAD-Q-IV is a self-report measure that consists of 9 items that refer to diagnostic criteria for GAD from Diagnostic and Statistical Manual of Mental Disorders (American Psychiatric Association, 1994). On the first four questions participants answer in a yes or no format if they have experienced excessive worry, whether the worry was excessive in intensity, frequency or amount of distress it caused, weather it has been difficult to control and if it extended to worrying about minor things (e.g. minor repairs). Then they are asked to list the most frequent topics about which they worry excessively or uncontrollably. On the next question they answer again with yes/no whether in the last six months they have been bothered by excessive worries more days </w:t>
      </w:r>
      <w:proofErr w:type="spellStart"/>
      <w:r w:rsidRPr="00EF468C">
        <w:rPr>
          <w:lang w:val="en-AU"/>
        </w:rPr>
        <w:t>then</w:t>
      </w:r>
      <w:proofErr w:type="spellEnd"/>
      <w:r w:rsidRPr="00EF468C">
        <w:rPr>
          <w:lang w:val="en-AU"/>
        </w:rPr>
        <w:t xml:space="preserve"> not. After that participants mark which one of the 6 DSM-IV (</w:t>
      </w:r>
      <w:r w:rsidRPr="00EF468C">
        <w:rPr>
          <w:i/>
          <w:lang w:val="en-AU"/>
        </w:rPr>
        <w:t>DSM-IV</w:t>
      </w:r>
      <w:r w:rsidRPr="00EF468C">
        <w:rPr>
          <w:lang w:val="en-AU"/>
        </w:rPr>
        <w:t xml:space="preserve">, 1994) GAD symptoms they experienced (e.g., being easily fatigued). On the last two items participants reply how much worry and physical symptoms interfere with their life and how much they are bothered by them </w:t>
      </w:r>
      <w:r w:rsidR="007E0647" w:rsidRPr="00EF468C">
        <w:rPr>
          <w:lang w:val="en-AU"/>
        </w:rPr>
        <w:t xml:space="preserve">on a 9-point scale </w:t>
      </w:r>
      <w:r w:rsidRPr="00EF468C">
        <w:rPr>
          <w:lang w:val="en-AU"/>
        </w:rPr>
        <w:t>(0=None; 4=Mild; 8=Very Severe). Newman et al. reported that ‘‘analyses such as internal consistency are not appropriate’’ (p. 229) for this measure, because of the response format. Thus, alphas are not reported.</w:t>
      </w:r>
    </w:p>
    <w:p w:rsidR="003B2B78" w:rsidRPr="00EF468C" w:rsidRDefault="003B2B78" w:rsidP="003B2B78">
      <w:pPr>
        <w:spacing w:line="480" w:lineRule="auto"/>
        <w:jc w:val="both"/>
        <w:rPr>
          <w:lang w:val="en-AU"/>
        </w:rPr>
      </w:pPr>
      <w:r w:rsidRPr="00EF468C">
        <w:rPr>
          <w:i/>
          <w:lang w:val="en-AU"/>
        </w:rPr>
        <w:t>Anxiety Sensitivity Index</w:t>
      </w:r>
      <w:r w:rsidRPr="00EF468C">
        <w:rPr>
          <w:lang w:val="en-AU"/>
        </w:rPr>
        <w:t xml:space="preserve"> (ASI; Peterson &amp; Reiss, 1992)</w:t>
      </w:r>
    </w:p>
    <w:p w:rsidR="003B2B78" w:rsidRPr="00EF468C" w:rsidRDefault="003B2B78" w:rsidP="003B2B78">
      <w:pPr>
        <w:autoSpaceDE w:val="0"/>
        <w:autoSpaceDN w:val="0"/>
        <w:adjustRightInd w:val="0"/>
        <w:spacing w:line="480" w:lineRule="auto"/>
        <w:jc w:val="both"/>
        <w:rPr>
          <w:rFonts w:eastAsia="MinionPro-Regular"/>
          <w:lang w:val="en-AU"/>
        </w:rPr>
      </w:pPr>
      <w:r w:rsidRPr="00EF468C">
        <w:rPr>
          <w:rFonts w:eastAsia="MinionPro-Regular"/>
          <w:lang w:val="en-AU"/>
        </w:rPr>
        <w:t>The second measure was the ASI, a 16-item self-report measure of AS. It has excellent psychometric properties in both clinical and non-clinical samples (Peterson &amp; Reiss,</w:t>
      </w:r>
      <w:r w:rsidR="007E0647" w:rsidRPr="00EF468C">
        <w:rPr>
          <w:rFonts w:eastAsia="MinionPro-Regular"/>
          <w:lang w:val="en-AU"/>
        </w:rPr>
        <w:t xml:space="preserve"> 1992). A Cronbach’s </w:t>
      </w:r>
      <w:r w:rsidR="007E0647" w:rsidRPr="00EF468C">
        <w:rPr>
          <w:rFonts w:eastAsia="MinionPro-Regular"/>
          <w:i/>
          <w:lang w:val="en-AU"/>
        </w:rPr>
        <w:t>α</w:t>
      </w:r>
      <w:r w:rsidR="007E0647" w:rsidRPr="00EF468C">
        <w:rPr>
          <w:rFonts w:eastAsia="MinionPro-Regular"/>
          <w:lang w:val="en-AU"/>
        </w:rPr>
        <w:t xml:space="preserve"> between .84–</w:t>
      </w:r>
      <w:r w:rsidRPr="00EF468C">
        <w:rPr>
          <w:rFonts w:eastAsia="MinionPro-Regular"/>
          <w:lang w:val="en-AU"/>
        </w:rPr>
        <w:t xml:space="preserve">.90 suggests good internal </w:t>
      </w:r>
      <w:r w:rsidRPr="00EF468C">
        <w:rPr>
          <w:rStyle w:val="Emphasis"/>
          <w:i w:val="0"/>
          <w:lang w:val="en-AU"/>
        </w:rPr>
        <w:t>consistency</w:t>
      </w:r>
      <w:r w:rsidRPr="00EF468C">
        <w:rPr>
          <w:rFonts w:eastAsia="MinionPro-Regular"/>
          <w:i/>
          <w:lang w:val="en-AU"/>
        </w:rPr>
        <w:t xml:space="preserve"> </w:t>
      </w:r>
      <w:r w:rsidRPr="00EF468C">
        <w:rPr>
          <w:rFonts w:eastAsia="MinionPro-Regular"/>
          <w:lang w:val="en-AU"/>
        </w:rPr>
        <w:t>(</w:t>
      </w:r>
      <w:r w:rsidRPr="00EF468C">
        <w:rPr>
          <w:lang w:val="en-AU"/>
        </w:rPr>
        <w:t>Peterson &amp; Reiss, 1992)</w:t>
      </w:r>
      <w:r w:rsidRPr="00EF468C">
        <w:rPr>
          <w:rFonts w:eastAsia="MinionPro-Regular"/>
          <w:lang w:val="en-AU"/>
        </w:rPr>
        <w:t>. The results in our sample (M = 47.67, SD = 12.695) showed normal dis</w:t>
      </w:r>
      <w:r w:rsidR="007E0647" w:rsidRPr="00EF468C">
        <w:rPr>
          <w:rFonts w:eastAsia="MinionPro-Regular"/>
          <w:lang w:val="en-AU"/>
        </w:rPr>
        <w:t xml:space="preserve">tribution and Cronbach’s α was </w:t>
      </w:r>
      <w:r w:rsidRPr="00EF468C">
        <w:rPr>
          <w:rFonts w:eastAsia="MinionPro-Regular"/>
          <w:lang w:val="en-AU"/>
        </w:rPr>
        <w:t xml:space="preserve">.86. Research supports a hierarchical factor structure of the ASI consisting of three lower-order factors measuring physical concerns, mental incapacitation </w:t>
      </w:r>
      <w:r w:rsidRPr="00EF468C">
        <w:rPr>
          <w:rFonts w:eastAsia="MinionPro-Regular"/>
          <w:lang w:val="en-AU"/>
        </w:rPr>
        <w:lastRenderedPageBreak/>
        <w:t>(psychological) concerns, and social concerns (</w:t>
      </w:r>
      <w:r w:rsidRPr="00EF468C">
        <w:rPr>
          <w:rFonts w:ascii="MinionPro-Capt" w:hAnsi="MinionPro-Capt" w:cs="MinionPro-Capt"/>
          <w:lang w:val="en-AU"/>
        </w:rPr>
        <w:t>Rodriguez, Bruce, Pagano, Spencer, &amp; Keller, 2004</w:t>
      </w:r>
      <w:r w:rsidRPr="00EF468C">
        <w:rPr>
          <w:rFonts w:eastAsia="MinionPro-Regular"/>
          <w:lang w:val="en-AU"/>
        </w:rPr>
        <w:t>).</w:t>
      </w:r>
    </w:p>
    <w:p w:rsidR="003B2B78" w:rsidRPr="00EF468C" w:rsidRDefault="003B2B78" w:rsidP="003B2B78">
      <w:pPr>
        <w:spacing w:line="480" w:lineRule="auto"/>
        <w:jc w:val="both"/>
        <w:rPr>
          <w:lang w:val="en-AU"/>
        </w:rPr>
      </w:pPr>
      <w:r w:rsidRPr="00EF468C">
        <w:rPr>
          <w:i/>
          <w:lang w:val="en-AU"/>
        </w:rPr>
        <w:t>Penn State Worry Questionnaire</w:t>
      </w:r>
      <w:r w:rsidRPr="00EF468C">
        <w:rPr>
          <w:lang w:val="en-AU"/>
        </w:rPr>
        <w:t xml:space="preserve"> (PSWQ; Meyer, Miller, Metzger, &amp; </w:t>
      </w:r>
      <w:proofErr w:type="spellStart"/>
      <w:r w:rsidRPr="00EF468C">
        <w:rPr>
          <w:lang w:val="en-AU"/>
        </w:rPr>
        <w:t>Borkovec</w:t>
      </w:r>
      <w:proofErr w:type="spellEnd"/>
      <w:r w:rsidRPr="00EF468C">
        <w:rPr>
          <w:lang w:val="en-AU"/>
        </w:rPr>
        <w:t xml:space="preserve">, 1990) </w:t>
      </w:r>
    </w:p>
    <w:p w:rsidR="003B2B78" w:rsidRPr="00EF468C" w:rsidRDefault="003B2B78" w:rsidP="003B2B78">
      <w:pPr>
        <w:spacing w:line="480" w:lineRule="auto"/>
        <w:jc w:val="both"/>
        <w:rPr>
          <w:lang w:val="en-AU"/>
        </w:rPr>
      </w:pPr>
      <w:r w:rsidRPr="00EF468C">
        <w:rPr>
          <w:lang w:val="en-AU"/>
        </w:rPr>
        <w:t xml:space="preserve">PSWQ consists of 16 self-report items that measure worry phenomena: generality, excessiveness and uncontrollability dimensions of pathological worry. Participants reply on a 5-point scale (1=Not typical for me; 5=Very typical for me) their agreement with different items, for example: “I know I should not worry about things, but I just cannot help it”; “As soon as I finish one task, I start to worry about everything else I have to do” and “I worry all the time.”. PSWQ has a very good internal consistency α=.94 (Meyer et al., 1990;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2008) which was confirmed in our research (α =.93).</w:t>
      </w:r>
    </w:p>
    <w:p w:rsidR="003B2B78" w:rsidRPr="00EF468C" w:rsidRDefault="003B2B78" w:rsidP="003B2B78">
      <w:pPr>
        <w:spacing w:line="480" w:lineRule="auto"/>
        <w:jc w:val="both"/>
        <w:rPr>
          <w:lang w:val="en-AU"/>
        </w:rPr>
      </w:pPr>
      <w:r w:rsidRPr="00EF468C">
        <w:rPr>
          <w:i/>
          <w:lang w:val="en-AU"/>
        </w:rPr>
        <w:t>Inventory of Parent and Peer Attachment</w:t>
      </w:r>
      <w:r w:rsidRPr="00EF468C">
        <w:rPr>
          <w:lang w:val="en-AU"/>
        </w:rPr>
        <w:t xml:space="preserve"> (IPPA; </w:t>
      </w:r>
      <w:proofErr w:type="spellStart"/>
      <w:r w:rsidRPr="00EF468C">
        <w:rPr>
          <w:lang w:val="en-AU"/>
        </w:rPr>
        <w:t>Armsden</w:t>
      </w:r>
      <w:proofErr w:type="spellEnd"/>
      <w:r w:rsidRPr="00EF468C">
        <w:rPr>
          <w:lang w:val="en-AU"/>
        </w:rPr>
        <w:t xml:space="preserve"> &amp; Greenberg, 1987) </w:t>
      </w:r>
    </w:p>
    <w:p w:rsidR="003B2B78" w:rsidRPr="00EF468C" w:rsidRDefault="003B2B78" w:rsidP="003B2B78">
      <w:pPr>
        <w:spacing w:line="480" w:lineRule="auto"/>
        <w:jc w:val="both"/>
        <w:rPr>
          <w:lang w:val="en-AU"/>
        </w:rPr>
      </w:pPr>
      <w:r w:rsidRPr="00EF468C">
        <w:rPr>
          <w:lang w:val="en-AU"/>
        </w:rPr>
        <w:t>IPPA consists of 75 items on which participants asses trust, communication, anger and alienation with parents, separately mother, father and peers. On a 5-point scale (1= Almost always or always true; 5=Almost never or never true) participants show their agreement with items about quali</w:t>
      </w:r>
      <w:r w:rsidR="007E0647" w:rsidRPr="00EF468C">
        <w:rPr>
          <w:lang w:val="en-AU"/>
        </w:rPr>
        <w:t>ty of their relationships. Item</w:t>
      </w:r>
      <w:r w:rsidRPr="00EF468C">
        <w:rPr>
          <w:lang w:val="en-AU"/>
        </w:rPr>
        <w:t xml:space="preserve"> samples: „When we discuss things, my parents consider my point of view.“, „My parents don't understand what I'm going through these days.“, When I am angry about something, my friends try to be understanding.“ and „It seems as if my friends are irritated with me for no reason.“. Only mother, father and peer alienation subscales were used in this study. Sample alienation items include „My parents expect too much from me</w:t>
      </w:r>
      <w:proofErr w:type="gramStart"/>
      <w:r w:rsidRPr="00EF468C">
        <w:rPr>
          <w:lang w:val="en-AU"/>
        </w:rPr>
        <w:t>.“</w:t>
      </w:r>
      <w:proofErr w:type="gramEnd"/>
      <w:r w:rsidRPr="00EF468C">
        <w:rPr>
          <w:lang w:val="en-AU"/>
        </w:rPr>
        <w:t xml:space="preserve"> and „I feel angry with my parents.“. The Inventory has satisfying psychometric qualities, with three week test-retest reliabilities from .93 for parent attachment </w:t>
      </w:r>
      <w:r w:rsidR="007E0647" w:rsidRPr="00EF468C">
        <w:rPr>
          <w:lang w:val="en-AU"/>
        </w:rPr>
        <w:t>to</w:t>
      </w:r>
      <w:r w:rsidRPr="00EF468C">
        <w:rPr>
          <w:lang w:val="en-AU"/>
        </w:rPr>
        <w:t xml:space="preserve"> .86 for peer attachment, while Cronbach’s alphas of total scores were for mother </w:t>
      </w:r>
      <w:r w:rsidRPr="00EF468C">
        <w:rPr>
          <w:i/>
          <w:lang w:val="en-AU"/>
        </w:rPr>
        <w:t>α</w:t>
      </w:r>
      <w:r w:rsidRPr="00EF468C">
        <w:rPr>
          <w:lang w:val="en-AU"/>
        </w:rPr>
        <w:t xml:space="preserve">=.87; father </w:t>
      </w:r>
      <w:r w:rsidRPr="00EF468C">
        <w:rPr>
          <w:i/>
          <w:lang w:val="en-AU"/>
        </w:rPr>
        <w:t>α</w:t>
      </w:r>
      <w:r w:rsidRPr="00EF468C">
        <w:rPr>
          <w:lang w:val="en-AU"/>
        </w:rPr>
        <w:t xml:space="preserve">=.89 and peers </w:t>
      </w:r>
      <w:r w:rsidRPr="00EF468C">
        <w:rPr>
          <w:i/>
          <w:lang w:val="en-AU"/>
        </w:rPr>
        <w:t>α</w:t>
      </w:r>
      <w:r w:rsidRPr="00EF468C">
        <w:rPr>
          <w:lang w:val="en-AU"/>
        </w:rPr>
        <w:t>=.92 (</w:t>
      </w:r>
      <w:proofErr w:type="spellStart"/>
      <w:r w:rsidRPr="00EF468C">
        <w:rPr>
          <w:lang w:val="en-AU"/>
        </w:rPr>
        <w:t>Armsden</w:t>
      </w:r>
      <w:proofErr w:type="spellEnd"/>
      <w:r w:rsidRPr="00EF468C">
        <w:rPr>
          <w:lang w:val="en-AU"/>
        </w:rPr>
        <w:t xml:space="preserve"> &amp; Greenberg, 1987). Our Cronbach’s alphas for alienation subscales were: mother α=.68; father α=.75 and peers α=.61.</w:t>
      </w:r>
    </w:p>
    <w:p w:rsidR="003B2B78" w:rsidRPr="00EF468C" w:rsidRDefault="003B2B78" w:rsidP="003B2B78">
      <w:pPr>
        <w:autoSpaceDE w:val="0"/>
        <w:autoSpaceDN w:val="0"/>
        <w:adjustRightInd w:val="0"/>
        <w:rPr>
          <w:b/>
          <w:lang w:val="en-AU"/>
        </w:rPr>
      </w:pPr>
    </w:p>
    <w:p w:rsidR="003B2B78" w:rsidRPr="00EF468C" w:rsidRDefault="003B2B78" w:rsidP="00C37BC6">
      <w:pPr>
        <w:autoSpaceDE w:val="0"/>
        <w:autoSpaceDN w:val="0"/>
        <w:adjustRightInd w:val="0"/>
        <w:outlineLvl w:val="0"/>
        <w:rPr>
          <w:b/>
          <w:lang w:val="en-AU"/>
        </w:rPr>
      </w:pPr>
      <w:r w:rsidRPr="00EF468C">
        <w:rPr>
          <w:b/>
          <w:lang w:val="en-AU"/>
        </w:rPr>
        <w:lastRenderedPageBreak/>
        <w:t>STATISTICAL ANALYSES</w:t>
      </w:r>
    </w:p>
    <w:p w:rsidR="003B2B78" w:rsidRPr="00EF468C" w:rsidRDefault="003B2B78" w:rsidP="003B2B78">
      <w:pPr>
        <w:autoSpaceDE w:val="0"/>
        <w:autoSpaceDN w:val="0"/>
        <w:adjustRightInd w:val="0"/>
        <w:rPr>
          <w:b/>
          <w:lang w:val="en-AU"/>
        </w:rPr>
      </w:pPr>
    </w:p>
    <w:p w:rsidR="003B2B78" w:rsidRPr="00EF468C" w:rsidRDefault="003B2B78" w:rsidP="003B2B78">
      <w:pPr>
        <w:autoSpaceDE w:val="0"/>
        <w:autoSpaceDN w:val="0"/>
        <w:adjustRightInd w:val="0"/>
        <w:spacing w:line="480" w:lineRule="auto"/>
        <w:rPr>
          <w:rFonts w:eastAsia="MinionPro-Regular"/>
          <w:lang w:val="en-AU"/>
        </w:rPr>
      </w:pPr>
      <w:r w:rsidRPr="00EF468C">
        <w:rPr>
          <w:rFonts w:eastAsia="MinionPro-Regular"/>
          <w:lang w:val="en-AU"/>
        </w:rPr>
        <w:t xml:space="preserve">The Statistical Package for the Social Sciences, version 12.0 (SPSS Inc., Chicago, IL, USA) was used for data analyses. The level of statistical significance was set at </w:t>
      </w:r>
      <w:r w:rsidRPr="00EF468C">
        <w:rPr>
          <w:i/>
          <w:iCs/>
          <w:lang w:val="en-AU"/>
        </w:rPr>
        <w:t xml:space="preserve">p </w:t>
      </w:r>
      <w:r w:rsidRPr="00EF468C">
        <w:rPr>
          <w:rFonts w:eastAsia="MinionPro-Regular"/>
          <w:lang w:val="en-AU"/>
        </w:rPr>
        <w:t>&lt; 0.05.</w:t>
      </w:r>
    </w:p>
    <w:p w:rsidR="003B2B78" w:rsidRPr="00EF468C" w:rsidRDefault="003B2B78" w:rsidP="00C37BC6">
      <w:pPr>
        <w:spacing w:line="480" w:lineRule="auto"/>
        <w:jc w:val="both"/>
        <w:outlineLvl w:val="0"/>
        <w:rPr>
          <w:b/>
          <w:lang w:val="en-AU"/>
        </w:rPr>
      </w:pPr>
      <w:r w:rsidRPr="00EF468C">
        <w:rPr>
          <w:b/>
          <w:lang w:val="en-AU"/>
        </w:rPr>
        <w:t>RESULTS</w:t>
      </w:r>
    </w:p>
    <w:p w:rsidR="003B2B78" w:rsidRPr="00EF468C" w:rsidRDefault="007D07EA" w:rsidP="003B2B78">
      <w:pPr>
        <w:spacing w:line="480" w:lineRule="auto"/>
        <w:ind w:firstLine="708"/>
        <w:jc w:val="both"/>
        <w:rPr>
          <w:lang w:val="en-AU"/>
        </w:rPr>
      </w:pPr>
      <w:r w:rsidRPr="00EF468C">
        <w:rPr>
          <w:lang w:val="en-AU"/>
        </w:rPr>
        <w:t xml:space="preserve">Demographic and some relevant clinical features of the study sample are presented in Table 1. </w:t>
      </w:r>
      <w:r w:rsidR="003B2B78" w:rsidRPr="00EF468C">
        <w:rPr>
          <w:lang w:val="en-AU"/>
        </w:rPr>
        <w:t xml:space="preserve">Means and standard deviations of all measures are presented in Table </w:t>
      </w:r>
      <w:r w:rsidR="00E52FEB" w:rsidRPr="00EF468C">
        <w:rPr>
          <w:lang w:val="en-AU"/>
        </w:rPr>
        <w:t>2</w:t>
      </w:r>
      <w:r w:rsidR="003B2B78" w:rsidRPr="00EF468C">
        <w:rPr>
          <w:lang w:val="en-AU"/>
        </w:rPr>
        <w:t xml:space="preserve">. As can be seen in Table </w:t>
      </w:r>
      <w:r w:rsidR="00E52FEB" w:rsidRPr="00EF468C">
        <w:rPr>
          <w:lang w:val="en-AU"/>
        </w:rPr>
        <w:t>3</w:t>
      </w:r>
      <w:r w:rsidR="003B2B78" w:rsidRPr="00EF468C">
        <w:rPr>
          <w:lang w:val="en-AU"/>
        </w:rPr>
        <w:t xml:space="preserve"> only peer alienation is significantly correlated with AS, GAD and worry symptoms. To test the mediation effect of AS on the relationship of peer alienation with GAD and worry we used </w:t>
      </w:r>
      <w:proofErr w:type="gramStart"/>
      <w:r w:rsidR="003B2B78" w:rsidRPr="00EF468C">
        <w:rPr>
          <w:lang w:val="en-AU"/>
        </w:rPr>
        <w:t>Baron &amp;</w:t>
      </w:r>
      <w:proofErr w:type="gramEnd"/>
      <w:r w:rsidR="003B2B78" w:rsidRPr="00EF468C">
        <w:rPr>
          <w:lang w:val="en-AU"/>
        </w:rPr>
        <w:t xml:space="preserve"> Kenny's (1986) </w:t>
      </w:r>
      <w:r w:rsidR="00853217" w:rsidRPr="00EF468C">
        <w:rPr>
          <w:lang w:val="en-AU"/>
        </w:rPr>
        <w:t>4-step</w:t>
      </w:r>
      <w:r w:rsidR="003B2B78" w:rsidRPr="00EF468C">
        <w:rPr>
          <w:lang w:val="en-AU"/>
        </w:rPr>
        <w:t xml:space="preserve"> approach (Table </w:t>
      </w:r>
      <w:r w:rsidR="00E52FEB" w:rsidRPr="00EF468C">
        <w:rPr>
          <w:lang w:val="en-AU"/>
        </w:rPr>
        <w:t>4</w:t>
      </w:r>
      <w:r w:rsidR="003B2B78" w:rsidRPr="00EF468C">
        <w:rPr>
          <w:lang w:val="en-AU"/>
        </w:rPr>
        <w:t xml:space="preserve">). </w:t>
      </w:r>
      <w:r w:rsidR="00080C93" w:rsidRPr="00EF468C">
        <w:rPr>
          <w:rFonts w:cs="Arial"/>
          <w:color w:val="191919"/>
          <w:szCs w:val="32"/>
          <w:lang w:val="en-AU" w:eastAsia="en-US"/>
        </w:rPr>
        <w:t>To ensure relative comparability of the obtained</w:t>
      </w:r>
      <w:r w:rsidR="003D68AC" w:rsidRPr="00EF468C">
        <w:rPr>
          <w:rFonts w:cs="Arial"/>
          <w:color w:val="191919"/>
          <w:szCs w:val="32"/>
          <w:lang w:val="en-AU" w:eastAsia="en-US"/>
        </w:rPr>
        <w:t xml:space="preserve"> results</w:t>
      </w:r>
      <w:r w:rsidR="00080C93" w:rsidRPr="00EF468C">
        <w:rPr>
          <w:rFonts w:cs="Arial"/>
          <w:color w:val="191919"/>
          <w:szCs w:val="32"/>
          <w:lang w:val="en-AU" w:eastAsia="en-US"/>
        </w:rPr>
        <w:t xml:space="preserve">, variables were entered in the same order as it was done by </w:t>
      </w:r>
      <w:proofErr w:type="spellStart"/>
      <w:r w:rsidR="00080C93" w:rsidRPr="00EF468C">
        <w:rPr>
          <w:rFonts w:cs="Arial"/>
          <w:color w:val="191919"/>
          <w:szCs w:val="32"/>
          <w:lang w:val="en-AU" w:eastAsia="en-US"/>
        </w:rPr>
        <w:t>Viana</w:t>
      </w:r>
      <w:proofErr w:type="spellEnd"/>
      <w:r w:rsidR="00080C93" w:rsidRPr="00EF468C">
        <w:rPr>
          <w:rFonts w:cs="Arial"/>
          <w:color w:val="191919"/>
          <w:szCs w:val="32"/>
          <w:lang w:val="en-AU" w:eastAsia="en-US"/>
        </w:rPr>
        <w:t xml:space="preserve"> and </w:t>
      </w:r>
      <w:proofErr w:type="spellStart"/>
      <w:r w:rsidR="00080C93" w:rsidRPr="00EF468C">
        <w:rPr>
          <w:rFonts w:cs="Arial"/>
          <w:color w:val="191919"/>
          <w:szCs w:val="32"/>
          <w:lang w:val="en-AU" w:eastAsia="en-US"/>
        </w:rPr>
        <w:t>Rabian</w:t>
      </w:r>
      <w:proofErr w:type="spellEnd"/>
      <w:r w:rsidR="00080C93" w:rsidRPr="00EF468C">
        <w:rPr>
          <w:rFonts w:cs="Arial"/>
          <w:color w:val="191919"/>
          <w:szCs w:val="32"/>
          <w:lang w:val="en-AU" w:eastAsia="en-US"/>
        </w:rPr>
        <w:t xml:space="preserve"> (2008) </w:t>
      </w:r>
      <w:r w:rsidR="003D68AC" w:rsidRPr="00EF468C">
        <w:rPr>
          <w:rFonts w:cs="Arial"/>
          <w:color w:val="191919"/>
          <w:szCs w:val="32"/>
          <w:lang w:val="en-AU" w:eastAsia="en-US"/>
        </w:rPr>
        <w:t xml:space="preserve">in the research </w:t>
      </w:r>
      <w:r w:rsidR="00080C93" w:rsidRPr="00EF468C">
        <w:rPr>
          <w:rFonts w:cs="Arial"/>
          <w:color w:val="191919"/>
          <w:szCs w:val="32"/>
          <w:lang w:val="en-AU" w:eastAsia="en-US"/>
        </w:rPr>
        <w:t xml:space="preserve">that explored the same relations on a non-clinical sample. </w:t>
      </w:r>
      <w:r w:rsidR="003B2B78" w:rsidRPr="00EF468C">
        <w:rPr>
          <w:lang w:val="en-AU"/>
        </w:rPr>
        <w:t xml:space="preserve">In the first step we performed regression analysis with peer alienation as predictor and GAD and worry as criteria, and the results showed that peer alienation is a significant predictor of both (Table </w:t>
      </w:r>
      <w:r w:rsidR="00E52FEB" w:rsidRPr="00EF468C">
        <w:rPr>
          <w:lang w:val="en-AU"/>
        </w:rPr>
        <w:t>4</w:t>
      </w:r>
      <w:r w:rsidR="003B2B78" w:rsidRPr="00EF468C">
        <w:rPr>
          <w:lang w:val="en-AU"/>
        </w:rPr>
        <w:t xml:space="preserve">). Second step has shown peer alienation as a significant predictor of AS, while the third step has shown AS </w:t>
      </w:r>
      <w:proofErr w:type="spellStart"/>
      <w:r w:rsidR="003B2B78" w:rsidRPr="00EF468C">
        <w:rPr>
          <w:lang w:val="en-AU"/>
        </w:rPr>
        <w:t>as</w:t>
      </w:r>
      <w:proofErr w:type="spellEnd"/>
      <w:r w:rsidR="003B2B78" w:rsidRPr="00EF468C">
        <w:rPr>
          <w:lang w:val="en-AU"/>
        </w:rPr>
        <w:t xml:space="preserve"> a significant predictor of both GAD and worry (Table </w:t>
      </w:r>
      <w:r w:rsidR="00E52FEB" w:rsidRPr="00EF468C">
        <w:rPr>
          <w:lang w:val="en-AU"/>
        </w:rPr>
        <w:t>4</w:t>
      </w:r>
      <w:r w:rsidR="003B2B78" w:rsidRPr="00EF468C">
        <w:rPr>
          <w:lang w:val="en-AU"/>
        </w:rPr>
        <w:t>).</w:t>
      </w:r>
    </w:p>
    <w:p w:rsidR="003B2B78" w:rsidRPr="00EF468C" w:rsidRDefault="003B2B78" w:rsidP="003B2B78">
      <w:pPr>
        <w:spacing w:line="480" w:lineRule="auto"/>
        <w:ind w:firstLine="708"/>
        <w:jc w:val="both"/>
        <w:rPr>
          <w:lang w:val="en-AU"/>
        </w:rPr>
      </w:pPr>
      <w:r w:rsidRPr="00EF468C">
        <w:rPr>
          <w:lang w:val="en-AU"/>
        </w:rPr>
        <w:t xml:space="preserve">In the fourth step we performed hierarchical regression for GAD and worry as dependent </w:t>
      </w:r>
      <w:r w:rsidR="003D68AC" w:rsidRPr="00EF468C">
        <w:rPr>
          <w:lang w:val="en-AU"/>
        </w:rPr>
        <w:t xml:space="preserve">variables with </w:t>
      </w:r>
      <w:r w:rsidRPr="00EF468C">
        <w:rPr>
          <w:lang w:val="en-AU"/>
        </w:rPr>
        <w:t xml:space="preserve">peer alienation and AS </w:t>
      </w:r>
      <w:proofErr w:type="spellStart"/>
      <w:r w:rsidRPr="00EF468C">
        <w:rPr>
          <w:lang w:val="en-AU"/>
        </w:rPr>
        <w:t>as</w:t>
      </w:r>
      <w:proofErr w:type="spellEnd"/>
      <w:r w:rsidRPr="00EF468C">
        <w:rPr>
          <w:lang w:val="en-AU"/>
        </w:rPr>
        <w:t xml:space="preserve"> predictor</w:t>
      </w:r>
      <w:r w:rsidR="003D68AC" w:rsidRPr="00EF468C">
        <w:rPr>
          <w:lang w:val="en-AU"/>
        </w:rPr>
        <w:t>s</w:t>
      </w:r>
      <w:r w:rsidRPr="00EF468C">
        <w:rPr>
          <w:lang w:val="en-AU"/>
        </w:rPr>
        <w:t>. In the first step with GAD as dependent variable, peer alienation was a significant predictor and explained 14% of the variance of GAD. In the second step we added AS, which explained additional 27% of GAD. In this step peer alienation lost its statistical signi</w:t>
      </w:r>
      <w:r w:rsidR="003D68AC" w:rsidRPr="00EF468C">
        <w:rPr>
          <w:lang w:val="en-AU"/>
        </w:rPr>
        <w:t>ficance as a predictor, with AS</w:t>
      </w:r>
      <w:r w:rsidRPr="00EF468C">
        <w:rPr>
          <w:lang w:val="en-AU"/>
        </w:rPr>
        <w:t xml:space="preserve"> being the only significant predictor (Table </w:t>
      </w:r>
      <w:r w:rsidR="00E52FEB" w:rsidRPr="00EF468C">
        <w:rPr>
          <w:lang w:val="en-AU"/>
        </w:rPr>
        <w:t>4</w:t>
      </w:r>
      <w:r w:rsidRPr="00EF468C">
        <w:rPr>
          <w:lang w:val="en-AU"/>
        </w:rPr>
        <w:t xml:space="preserve">). </w:t>
      </w:r>
    </w:p>
    <w:p w:rsidR="003B2B78" w:rsidRPr="00EF468C" w:rsidRDefault="003B2B78" w:rsidP="003B2B78">
      <w:pPr>
        <w:spacing w:line="480" w:lineRule="auto"/>
        <w:ind w:firstLine="708"/>
        <w:jc w:val="both"/>
        <w:rPr>
          <w:lang w:val="en-AU"/>
        </w:rPr>
      </w:pPr>
      <w:r w:rsidRPr="00EF468C">
        <w:rPr>
          <w:lang w:val="en-AU"/>
        </w:rPr>
        <w:t>Similar results were obtained for worry; in the first step peer alienation was a significant predictor and explained 17% of worry va</w:t>
      </w:r>
      <w:r w:rsidR="003D68AC" w:rsidRPr="00EF468C">
        <w:rPr>
          <w:lang w:val="en-AU"/>
        </w:rPr>
        <w:t>riance. With introduction of AS</w:t>
      </w:r>
      <w:r w:rsidRPr="00EF468C">
        <w:rPr>
          <w:lang w:val="en-AU"/>
        </w:rPr>
        <w:t xml:space="preserve">, </w:t>
      </w:r>
      <w:r w:rsidR="003D68AC" w:rsidRPr="00EF468C">
        <w:rPr>
          <w:lang w:val="en-AU"/>
        </w:rPr>
        <w:t xml:space="preserve">explained variance raises by 14% but </w:t>
      </w:r>
      <w:r w:rsidRPr="00EF468C">
        <w:rPr>
          <w:lang w:val="en-AU"/>
        </w:rPr>
        <w:t xml:space="preserve">peer alienation </w:t>
      </w:r>
      <w:r w:rsidR="003D68AC" w:rsidRPr="00EF468C">
        <w:rPr>
          <w:lang w:val="en-AU"/>
        </w:rPr>
        <w:t>loses</w:t>
      </w:r>
      <w:r w:rsidRPr="00EF468C">
        <w:rPr>
          <w:lang w:val="en-AU"/>
        </w:rPr>
        <w:t xml:space="preserve"> predictive significance. </w:t>
      </w:r>
    </w:p>
    <w:p w:rsidR="003B2B78" w:rsidRPr="00EF468C" w:rsidRDefault="003B2B78" w:rsidP="003B2B78">
      <w:pPr>
        <w:spacing w:line="480" w:lineRule="auto"/>
        <w:ind w:firstLine="708"/>
        <w:jc w:val="both"/>
        <w:rPr>
          <w:lang w:val="en-AU"/>
        </w:rPr>
      </w:pPr>
      <w:r w:rsidRPr="00EF468C">
        <w:rPr>
          <w:lang w:val="en-AU"/>
        </w:rPr>
        <w:lastRenderedPageBreak/>
        <w:t>Sobel test was performed to confir</w:t>
      </w:r>
      <w:r w:rsidR="003D68AC" w:rsidRPr="00EF468C">
        <w:rPr>
          <w:lang w:val="en-AU"/>
        </w:rPr>
        <w:t>m mediation effect of AS on the</w:t>
      </w:r>
      <w:r w:rsidRPr="00EF468C">
        <w:rPr>
          <w:lang w:val="en-AU"/>
        </w:rPr>
        <w:t xml:space="preserve"> relationship</w:t>
      </w:r>
      <w:r w:rsidR="003D68AC" w:rsidRPr="00EF468C">
        <w:rPr>
          <w:lang w:val="en-AU"/>
        </w:rPr>
        <w:t>s</w:t>
      </w:r>
      <w:r w:rsidRPr="00EF468C">
        <w:rPr>
          <w:lang w:val="en-AU"/>
        </w:rPr>
        <w:t xml:space="preserve"> of peer alienation with GAD and worry. The mediated effect for ASI on GAD was Sobel z=3.36, p&lt;.01, and for ASI on worry was Sobel z=3.12, p&lt;.02, and we can conclude AS </w:t>
      </w:r>
      <w:r w:rsidR="003D68AC" w:rsidRPr="00EF468C">
        <w:rPr>
          <w:lang w:val="en-AU"/>
        </w:rPr>
        <w:t xml:space="preserve">mediates the relationships </w:t>
      </w:r>
      <w:r w:rsidRPr="00EF468C">
        <w:rPr>
          <w:lang w:val="en-AU"/>
        </w:rPr>
        <w:t>of peer alienation with GAD and worry</w:t>
      </w:r>
      <w:r w:rsidR="003D68AC" w:rsidRPr="00EF468C">
        <w:rPr>
          <w:lang w:val="en-AU"/>
        </w:rPr>
        <w:t>.</w:t>
      </w:r>
    </w:p>
    <w:p w:rsidR="00F976D8" w:rsidRPr="00EF468C" w:rsidRDefault="00F976D8" w:rsidP="003B2B78">
      <w:pPr>
        <w:autoSpaceDE w:val="0"/>
        <w:autoSpaceDN w:val="0"/>
        <w:adjustRightInd w:val="0"/>
        <w:spacing w:line="360" w:lineRule="auto"/>
        <w:jc w:val="both"/>
        <w:outlineLvl w:val="0"/>
        <w:rPr>
          <w:lang w:val="en-AU"/>
        </w:rPr>
      </w:pPr>
    </w:p>
    <w:p w:rsidR="005924D5" w:rsidRPr="00EF468C" w:rsidRDefault="003B2B78" w:rsidP="00C37BC6">
      <w:pPr>
        <w:autoSpaceDE w:val="0"/>
        <w:autoSpaceDN w:val="0"/>
        <w:adjustRightInd w:val="0"/>
        <w:spacing w:line="360" w:lineRule="auto"/>
        <w:jc w:val="both"/>
        <w:outlineLvl w:val="0"/>
        <w:rPr>
          <w:b/>
          <w:lang w:val="en-AU"/>
        </w:rPr>
      </w:pPr>
      <w:r w:rsidRPr="00EF468C">
        <w:rPr>
          <w:b/>
          <w:lang w:val="en-AU"/>
        </w:rPr>
        <w:t>DISCUSSION</w:t>
      </w:r>
    </w:p>
    <w:p w:rsidR="002671D7" w:rsidRPr="00EF468C" w:rsidRDefault="002671D7" w:rsidP="005924D5">
      <w:pPr>
        <w:autoSpaceDE w:val="0"/>
        <w:autoSpaceDN w:val="0"/>
        <w:adjustRightInd w:val="0"/>
        <w:spacing w:line="360" w:lineRule="auto"/>
        <w:jc w:val="both"/>
        <w:outlineLvl w:val="0"/>
        <w:rPr>
          <w:b/>
          <w:lang w:val="en-AU"/>
        </w:rPr>
      </w:pPr>
    </w:p>
    <w:p w:rsidR="002671D7" w:rsidRPr="00EF468C" w:rsidRDefault="002671D7" w:rsidP="00C37BC6">
      <w:pPr>
        <w:autoSpaceDE w:val="0"/>
        <w:autoSpaceDN w:val="0"/>
        <w:adjustRightInd w:val="0"/>
        <w:spacing w:line="480" w:lineRule="auto"/>
        <w:jc w:val="both"/>
        <w:outlineLvl w:val="0"/>
        <w:rPr>
          <w:b/>
          <w:i/>
          <w:lang w:val="en-AU"/>
        </w:rPr>
      </w:pPr>
      <w:r w:rsidRPr="00EF468C">
        <w:rPr>
          <w:b/>
          <w:i/>
          <w:lang w:val="en-AU"/>
        </w:rPr>
        <w:t xml:space="preserve">Current worry, </w:t>
      </w:r>
      <w:r w:rsidR="00980BDF" w:rsidRPr="00EF468C">
        <w:rPr>
          <w:b/>
          <w:i/>
          <w:lang w:val="en-AU"/>
        </w:rPr>
        <w:t xml:space="preserve">generalized anxiety disorder, anxiety sensitivity </w:t>
      </w:r>
      <w:r w:rsidR="006317B8" w:rsidRPr="00EF468C">
        <w:rPr>
          <w:b/>
          <w:i/>
          <w:lang w:val="en-AU"/>
        </w:rPr>
        <w:t>and parent alienation</w:t>
      </w:r>
    </w:p>
    <w:p w:rsidR="003B2B78" w:rsidRPr="00EF468C" w:rsidRDefault="003B2B78" w:rsidP="003B2B78">
      <w:pPr>
        <w:autoSpaceDE w:val="0"/>
        <w:autoSpaceDN w:val="0"/>
        <w:adjustRightInd w:val="0"/>
        <w:spacing w:line="480" w:lineRule="auto"/>
        <w:jc w:val="both"/>
        <w:rPr>
          <w:lang w:val="en-AU"/>
        </w:rPr>
      </w:pPr>
      <w:r w:rsidRPr="00EF468C">
        <w:rPr>
          <w:lang w:val="en-AU"/>
        </w:rPr>
        <w:t xml:space="preserve">The current study examined the relation between perceptions of alienation from parents and peers, AS, and current worry as well as GAD symptoms in a clinical sample. </w:t>
      </w:r>
      <w:proofErr w:type="gramStart"/>
      <w:r w:rsidRPr="00EF468C">
        <w:rPr>
          <w:lang w:val="en-AU"/>
        </w:rPr>
        <w:t xml:space="preserve">The role of AS </w:t>
      </w:r>
      <w:proofErr w:type="spellStart"/>
      <w:r w:rsidRPr="00EF468C">
        <w:rPr>
          <w:lang w:val="en-AU"/>
        </w:rPr>
        <w:t>as</w:t>
      </w:r>
      <w:proofErr w:type="spellEnd"/>
      <w:r w:rsidRPr="00EF468C">
        <w:rPr>
          <w:lang w:val="en-AU"/>
        </w:rPr>
        <w:t xml:space="preserve"> a mediator between perceptions of alienation and current worry and GAD symptoms was also examined.</w:t>
      </w:r>
      <w:proofErr w:type="gramEnd"/>
      <w:r w:rsidRPr="00EF468C">
        <w:rPr>
          <w:lang w:val="en-AU"/>
        </w:rPr>
        <w:t xml:space="preserve"> Partially in accordance with the results of </w:t>
      </w:r>
      <w:proofErr w:type="spellStart"/>
      <w:r w:rsidRPr="00EF468C">
        <w:rPr>
          <w:lang w:val="en-AU"/>
        </w:rPr>
        <w:t>Viana</w:t>
      </w:r>
      <w:proofErr w:type="spellEnd"/>
      <w:r w:rsidRPr="00EF468C">
        <w:rPr>
          <w:lang w:val="en-AU"/>
        </w:rPr>
        <w:t xml:space="preserve"> </w:t>
      </w:r>
      <w:r w:rsidR="003D68AC" w:rsidRPr="00EF468C">
        <w:rPr>
          <w:lang w:val="en-AU"/>
        </w:rPr>
        <w:t>and</w:t>
      </w:r>
      <w:r w:rsidRPr="00EF468C">
        <w:rPr>
          <w:lang w:val="en-AU"/>
        </w:rPr>
        <w:t xml:space="preserve"> </w:t>
      </w:r>
      <w:proofErr w:type="spellStart"/>
      <w:r w:rsidRPr="00EF468C">
        <w:rPr>
          <w:lang w:val="en-AU"/>
        </w:rPr>
        <w:t>Rabian</w:t>
      </w:r>
      <w:proofErr w:type="spellEnd"/>
      <w:r w:rsidRPr="00EF468C">
        <w:rPr>
          <w:lang w:val="en-AU"/>
        </w:rPr>
        <w:t xml:space="preserve"> (2008) on a non-clinical sample, participants with higher symptoms of worry and GAD reported higher perceptions of being alienated only from their peers. </w:t>
      </w:r>
    </w:p>
    <w:p w:rsidR="002671D7" w:rsidRPr="00EF468C" w:rsidRDefault="003B2B78" w:rsidP="003B2B78">
      <w:pPr>
        <w:autoSpaceDE w:val="0"/>
        <w:autoSpaceDN w:val="0"/>
        <w:adjustRightInd w:val="0"/>
        <w:spacing w:line="480" w:lineRule="auto"/>
        <w:jc w:val="both"/>
        <w:rPr>
          <w:lang w:val="en-AU"/>
        </w:rPr>
      </w:pPr>
      <w:r w:rsidRPr="00EF468C">
        <w:rPr>
          <w:lang w:val="en-AU"/>
        </w:rPr>
        <w:t xml:space="preserve">This finding is also inconsistent with the results of </w:t>
      </w:r>
      <w:proofErr w:type="spellStart"/>
      <w:r w:rsidRPr="00EF468C">
        <w:rPr>
          <w:lang w:val="en-AU"/>
        </w:rPr>
        <w:t>Eng</w:t>
      </w:r>
      <w:proofErr w:type="spellEnd"/>
      <w:r w:rsidRPr="00EF468C">
        <w:rPr>
          <w:lang w:val="en-AU"/>
        </w:rPr>
        <w:t xml:space="preserve"> &amp; </w:t>
      </w:r>
      <w:proofErr w:type="spellStart"/>
      <w:r w:rsidRPr="00EF468C">
        <w:rPr>
          <w:lang w:val="en-AU"/>
        </w:rPr>
        <w:t>Heimberg</w:t>
      </w:r>
      <w:proofErr w:type="spellEnd"/>
      <w:r w:rsidRPr="00EF468C">
        <w:rPr>
          <w:lang w:val="en-AU"/>
        </w:rPr>
        <w:t xml:space="preserve"> (2006), who found that GAD participants reported significantly less secure attachment to their parents, and those of Hale, Engels, &amp; </w:t>
      </w:r>
      <w:proofErr w:type="spellStart"/>
      <w:r w:rsidRPr="00EF468C">
        <w:rPr>
          <w:lang w:val="en-AU"/>
        </w:rPr>
        <w:t>Meeus</w:t>
      </w:r>
      <w:proofErr w:type="spellEnd"/>
      <w:r w:rsidRPr="00EF468C">
        <w:rPr>
          <w:lang w:val="en-AU"/>
        </w:rPr>
        <w:t xml:space="preserve"> (2006) who found that greater perceptions of parental alienation were related to higher symptoms of GAD. </w:t>
      </w:r>
    </w:p>
    <w:p w:rsidR="00E544DB" w:rsidRPr="00EF468C" w:rsidRDefault="002671D7" w:rsidP="00E544DB">
      <w:pPr>
        <w:autoSpaceDE w:val="0"/>
        <w:autoSpaceDN w:val="0"/>
        <w:adjustRightInd w:val="0"/>
        <w:spacing w:line="480" w:lineRule="auto"/>
        <w:jc w:val="both"/>
        <w:outlineLvl w:val="0"/>
        <w:rPr>
          <w:lang w:val="en-AU"/>
        </w:rPr>
      </w:pPr>
      <w:r w:rsidRPr="00EF468C">
        <w:rPr>
          <w:lang w:val="en-AU"/>
        </w:rPr>
        <w:t>The lack of finding significant relations between these variables could not be simply assigned to the problem of having scores with</w:t>
      </w:r>
      <w:r w:rsidR="003D68AC" w:rsidRPr="00EF468C">
        <w:rPr>
          <w:lang w:val="en-AU"/>
        </w:rPr>
        <w:t>in</w:t>
      </w:r>
      <w:r w:rsidRPr="00EF468C">
        <w:rPr>
          <w:lang w:val="en-AU"/>
        </w:rPr>
        <w:t xml:space="preserve"> a restricted range (high mean scores on measures of perceived parental alienation in our sample). Namely, when compared to mean IPPA mother and father alienation scores reported by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our participants did show a trend of higher perceived mother and father alienation (</w:t>
      </w:r>
      <w:proofErr w:type="spellStart"/>
      <w:r w:rsidRPr="00EF468C">
        <w:rPr>
          <w:i/>
          <w:lang w:val="en-AU"/>
        </w:rPr>
        <w:t>M</w:t>
      </w:r>
      <w:r w:rsidRPr="00EF468C">
        <w:rPr>
          <w:vertAlign w:val="subscript"/>
          <w:lang w:val="en-AU"/>
        </w:rPr>
        <w:t>IPPAmother</w:t>
      </w:r>
      <w:proofErr w:type="spellEnd"/>
      <w:r w:rsidRPr="00EF468C">
        <w:rPr>
          <w:lang w:val="en-AU"/>
        </w:rPr>
        <w:t xml:space="preserve">=15,28 vs. 13,55; </w:t>
      </w:r>
      <w:proofErr w:type="spellStart"/>
      <w:r w:rsidRPr="00EF468C">
        <w:rPr>
          <w:i/>
          <w:lang w:val="en-AU"/>
        </w:rPr>
        <w:t>M</w:t>
      </w:r>
      <w:r w:rsidRPr="00EF468C">
        <w:rPr>
          <w:vertAlign w:val="subscript"/>
          <w:lang w:val="en-AU"/>
        </w:rPr>
        <w:t>IPPAfather</w:t>
      </w:r>
      <w:proofErr w:type="spellEnd"/>
      <w:r w:rsidRPr="00EF468C">
        <w:rPr>
          <w:lang w:val="en-AU"/>
        </w:rPr>
        <w:t xml:space="preserve">=15,75 vs. 14,37). However, even stronger trend </w:t>
      </w:r>
      <w:r w:rsidR="003D68AC" w:rsidRPr="00EF468C">
        <w:rPr>
          <w:lang w:val="en-AU"/>
        </w:rPr>
        <w:t>was observed for</w:t>
      </w:r>
      <w:r w:rsidRPr="00EF468C">
        <w:rPr>
          <w:lang w:val="en-AU"/>
        </w:rPr>
        <w:t xml:space="preserve"> perceived peer alienation</w:t>
      </w:r>
      <w:r w:rsidR="003D68AC" w:rsidRPr="00EF468C">
        <w:rPr>
          <w:lang w:val="en-AU"/>
        </w:rPr>
        <w:t>, which was higher</w:t>
      </w:r>
      <w:r w:rsidRPr="00EF468C">
        <w:rPr>
          <w:lang w:val="en-AU"/>
        </w:rPr>
        <w:t xml:space="preserve"> in our sample</w:t>
      </w:r>
      <w:r w:rsidR="003D68AC" w:rsidRPr="00EF468C">
        <w:rPr>
          <w:lang w:val="en-AU"/>
        </w:rPr>
        <w:t>,</w:t>
      </w:r>
      <w:r w:rsidRPr="00EF468C">
        <w:rPr>
          <w:lang w:val="en-AU"/>
        </w:rPr>
        <w:t xml:space="preserve"> compared to findings of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w:t>
      </w:r>
      <w:r w:rsidRPr="00EF468C">
        <w:rPr>
          <w:lang w:val="en-AU"/>
        </w:rPr>
        <w:lastRenderedPageBreak/>
        <w:t>(</w:t>
      </w:r>
      <w:proofErr w:type="spellStart"/>
      <w:r w:rsidRPr="00EF468C">
        <w:rPr>
          <w:i/>
          <w:lang w:val="en-AU"/>
        </w:rPr>
        <w:t>M</w:t>
      </w:r>
      <w:r w:rsidRPr="00EF468C">
        <w:rPr>
          <w:vertAlign w:val="subscript"/>
          <w:lang w:val="en-AU"/>
        </w:rPr>
        <w:t>IPPApeer</w:t>
      </w:r>
      <w:proofErr w:type="spellEnd"/>
      <w:r w:rsidRPr="00EF468C">
        <w:rPr>
          <w:lang w:val="en-AU"/>
        </w:rPr>
        <w:t>=18</w:t>
      </w:r>
      <w:proofErr w:type="gramStart"/>
      <w:r w:rsidRPr="00EF468C">
        <w:rPr>
          <w:lang w:val="en-AU"/>
        </w:rPr>
        <w:t>,22</w:t>
      </w:r>
      <w:proofErr w:type="gramEnd"/>
      <w:r w:rsidRPr="00EF468C">
        <w:rPr>
          <w:lang w:val="en-AU"/>
        </w:rPr>
        <w:t xml:space="preserve"> vs. 16,82)</w:t>
      </w:r>
      <w:r w:rsidR="003D68AC" w:rsidRPr="00EF468C">
        <w:rPr>
          <w:lang w:val="en-AU"/>
        </w:rPr>
        <w:t>,</w:t>
      </w:r>
      <w:r w:rsidRPr="00EF468C">
        <w:rPr>
          <w:lang w:val="en-AU"/>
        </w:rPr>
        <w:t xml:space="preserve"> with similar standard deviations in all cases.</w:t>
      </w:r>
      <w:r w:rsidR="006373AC" w:rsidRPr="00EF468C">
        <w:rPr>
          <w:lang w:val="en-AU"/>
        </w:rPr>
        <w:t xml:space="preserve"> </w:t>
      </w:r>
      <w:r w:rsidR="005E405B" w:rsidRPr="00EF468C">
        <w:rPr>
          <w:lang w:val="en-AU"/>
        </w:rPr>
        <w:t xml:space="preserve">In our opinion, there is </w:t>
      </w:r>
      <w:r w:rsidR="00E47D1F" w:rsidRPr="00EF468C">
        <w:rPr>
          <w:lang w:val="en-AU"/>
        </w:rPr>
        <w:t xml:space="preserve">a </w:t>
      </w:r>
      <w:r w:rsidR="005E405B" w:rsidRPr="00EF468C">
        <w:rPr>
          <w:lang w:val="en-AU"/>
        </w:rPr>
        <w:t xml:space="preserve">plausible </w:t>
      </w:r>
      <w:r w:rsidR="00E47D1F" w:rsidRPr="00EF468C">
        <w:rPr>
          <w:lang w:val="en-AU"/>
        </w:rPr>
        <w:t>explanation</w:t>
      </w:r>
      <w:r w:rsidR="005E405B" w:rsidRPr="00EF468C">
        <w:rPr>
          <w:lang w:val="en-AU"/>
        </w:rPr>
        <w:t xml:space="preserve"> why such different</w:t>
      </w:r>
      <w:r w:rsidR="00E47D1F" w:rsidRPr="00EF468C">
        <w:rPr>
          <w:lang w:val="en-AU"/>
        </w:rPr>
        <w:t xml:space="preserve"> results emerged in our study. </w:t>
      </w:r>
      <w:r w:rsidR="005E405B" w:rsidRPr="00EF468C">
        <w:rPr>
          <w:lang w:val="en-AU"/>
        </w:rPr>
        <w:t xml:space="preserve">All of </w:t>
      </w:r>
      <w:r w:rsidR="009C5641" w:rsidRPr="00EF468C">
        <w:rPr>
          <w:lang w:val="en-AU"/>
        </w:rPr>
        <w:t xml:space="preserve">the </w:t>
      </w:r>
      <w:r w:rsidR="005E405B" w:rsidRPr="00EF468C">
        <w:rPr>
          <w:lang w:val="en-AU"/>
        </w:rPr>
        <w:t>before mentioned</w:t>
      </w:r>
      <w:r w:rsidR="00F33A02" w:rsidRPr="00EF468C">
        <w:rPr>
          <w:lang w:val="en-AU"/>
        </w:rPr>
        <w:t xml:space="preserve"> studies</w:t>
      </w:r>
      <w:r w:rsidR="005E405B" w:rsidRPr="00EF468C">
        <w:rPr>
          <w:lang w:val="en-AU"/>
        </w:rPr>
        <w:t xml:space="preserve"> (</w:t>
      </w:r>
      <w:proofErr w:type="spellStart"/>
      <w:r w:rsidR="005E405B" w:rsidRPr="00EF468C">
        <w:rPr>
          <w:lang w:val="en-AU"/>
        </w:rPr>
        <w:t>Eng</w:t>
      </w:r>
      <w:proofErr w:type="spellEnd"/>
      <w:r w:rsidR="005E405B" w:rsidRPr="00EF468C">
        <w:rPr>
          <w:lang w:val="en-AU"/>
        </w:rPr>
        <w:t xml:space="preserve"> &amp; </w:t>
      </w:r>
      <w:proofErr w:type="spellStart"/>
      <w:r w:rsidR="005E405B" w:rsidRPr="00EF468C">
        <w:rPr>
          <w:lang w:val="en-AU"/>
        </w:rPr>
        <w:t>Heimberg</w:t>
      </w:r>
      <w:proofErr w:type="spellEnd"/>
      <w:r w:rsidR="005E405B" w:rsidRPr="00EF468C">
        <w:rPr>
          <w:lang w:val="en-AU"/>
        </w:rPr>
        <w:t xml:space="preserve">, 2006; </w:t>
      </w:r>
      <w:r w:rsidR="003D68AC" w:rsidRPr="00EF468C">
        <w:rPr>
          <w:lang w:val="en-AU"/>
        </w:rPr>
        <w:t xml:space="preserve">Hale, Engels, &amp; </w:t>
      </w:r>
      <w:proofErr w:type="spellStart"/>
      <w:r w:rsidR="003D68AC" w:rsidRPr="00EF468C">
        <w:rPr>
          <w:lang w:val="en-AU"/>
        </w:rPr>
        <w:t>Meeus</w:t>
      </w:r>
      <w:proofErr w:type="spellEnd"/>
      <w:r w:rsidR="003D68AC" w:rsidRPr="00EF468C">
        <w:rPr>
          <w:lang w:val="en-AU"/>
        </w:rPr>
        <w:t xml:space="preserve">, 2006; </w:t>
      </w:r>
      <w:proofErr w:type="spellStart"/>
      <w:r w:rsidR="003D68AC" w:rsidRPr="00EF468C">
        <w:rPr>
          <w:lang w:val="en-AU"/>
        </w:rPr>
        <w:t>Viana</w:t>
      </w:r>
      <w:proofErr w:type="spellEnd"/>
      <w:r w:rsidR="003D68AC" w:rsidRPr="00EF468C">
        <w:rPr>
          <w:lang w:val="en-AU"/>
        </w:rPr>
        <w:t xml:space="preserve"> &amp; </w:t>
      </w:r>
      <w:proofErr w:type="spellStart"/>
      <w:r w:rsidR="003D68AC" w:rsidRPr="00EF468C">
        <w:rPr>
          <w:lang w:val="en-AU"/>
        </w:rPr>
        <w:t>Rabian</w:t>
      </w:r>
      <w:proofErr w:type="spellEnd"/>
      <w:r w:rsidR="003D68AC" w:rsidRPr="00EF468C">
        <w:rPr>
          <w:lang w:val="en-AU"/>
        </w:rPr>
        <w:t>, 2008</w:t>
      </w:r>
      <w:r w:rsidR="005E405B" w:rsidRPr="00EF468C">
        <w:rPr>
          <w:lang w:val="en-AU"/>
        </w:rPr>
        <w:t>)</w:t>
      </w:r>
      <w:r w:rsidR="00F33A02" w:rsidRPr="00EF468C">
        <w:rPr>
          <w:lang w:val="en-AU"/>
        </w:rPr>
        <w:t xml:space="preserve"> enrolled</w:t>
      </w:r>
      <w:r w:rsidR="00B7082A" w:rsidRPr="00EF468C">
        <w:rPr>
          <w:lang w:val="en-AU"/>
        </w:rPr>
        <w:t xml:space="preserve"> mostly adolescents</w:t>
      </w:r>
      <w:r w:rsidR="009C5641" w:rsidRPr="00EF468C">
        <w:rPr>
          <w:lang w:val="en-AU"/>
        </w:rPr>
        <w:t xml:space="preserve"> and young adults</w:t>
      </w:r>
      <w:r w:rsidR="00B7082A" w:rsidRPr="00EF468C">
        <w:rPr>
          <w:lang w:val="en-AU"/>
        </w:rPr>
        <w:t xml:space="preserve"> </w:t>
      </w:r>
      <w:r w:rsidR="00F33A02" w:rsidRPr="00EF468C">
        <w:rPr>
          <w:lang w:val="en-AU"/>
        </w:rPr>
        <w:t>as participants</w:t>
      </w:r>
      <w:r w:rsidR="00E47D1F" w:rsidRPr="00EF468C">
        <w:rPr>
          <w:lang w:val="en-AU"/>
        </w:rPr>
        <w:t>.</w:t>
      </w:r>
      <w:r w:rsidR="00F33A02" w:rsidRPr="00EF468C">
        <w:rPr>
          <w:lang w:val="en-AU"/>
        </w:rPr>
        <w:t xml:space="preserve"> </w:t>
      </w:r>
      <w:r w:rsidR="003D68AC" w:rsidRPr="00EF468C">
        <w:rPr>
          <w:lang w:val="en-AU"/>
        </w:rPr>
        <w:t>Namely, it i</w:t>
      </w:r>
      <w:r w:rsidR="00E47D1F" w:rsidRPr="00EF468C">
        <w:rPr>
          <w:lang w:val="en-AU"/>
        </w:rPr>
        <w:t>s</w:t>
      </w:r>
      <w:r w:rsidR="00F33A02" w:rsidRPr="00EF468C">
        <w:rPr>
          <w:lang w:val="en-AU"/>
        </w:rPr>
        <w:t xml:space="preserve"> possible th</w:t>
      </w:r>
      <w:r w:rsidR="005E405B" w:rsidRPr="00EF468C">
        <w:rPr>
          <w:lang w:val="en-AU"/>
        </w:rPr>
        <w:t>a</w:t>
      </w:r>
      <w:r w:rsidR="00945141" w:rsidRPr="00EF468C">
        <w:rPr>
          <w:lang w:val="en-AU"/>
        </w:rPr>
        <w:t>t the caregiver</w:t>
      </w:r>
      <w:r w:rsidR="009C5641" w:rsidRPr="00EF468C">
        <w:rPr>
          <w:lang w:val="en-AU"/>
        </w:rPr>
        <w:t>s</w:t>
      </w:r>
      <w:r w:rsidR="00945141" w:rsidRPr="00EF468C">
        <w:rPr>
          <w:lang w:val="en-AU"/>
        </w:rPr>
        <w:t>’</w:t>
      </w:r>
      <w:r w:rsidR="009C5641" w:rsidRPr="00EF468C">
        <w:rPr>
          <w:lang w:val="en-AU"/>
        </w:rPr>
        <w:t xml:space="preserve"> influence</w:t>
      </w:r>
      <w:r w:rsidR="00E47D1F" w:rsidRPr="00EF468C">
        <w:rPr>
          <w:lang w:val="en-AU"/>
        </w:rPr>
        <w:t xml:space="preserve"> in lives of individuals from</w:t>
      </w:r>
      <w:r w:rsidR="009C5641" w:rsidRPr="00EF468C">
        <w:rPr>
          <w:lang w:val="en-AU"/>
        </w:rPr>
        <w:t xml:space="preserve"> these</w:t>
      </w:r>
      <w:r w:rsidR="00F33A02" w:rsidRPr="00EF468C">
        <w:rPr>
          <w:lang w:val="en-AU"/>
        </w:rPr>
        <w:t xml:space="preserve"> </w:t>
      </w:r>
      <w:r w:rsidR="00B7082A" w:rsidRPr="00EF468C">
        <w:rPr>
          <w:lang w:val="en-AU"/>
        </w:rPr>
        <w:t>populat</w:t>
      </w:r>
      <w:r w:rsidR="005E405B" w:rsidRPr="00EF468C">
        <w:rPr>
          <w:lang w:val="en-AU"/>
        </w:rPr>
        <w:t>ion</w:t>
      </w:r>
      <w:r w:rsidR="009C5641" w:rsidRPr="00EF468C">
        <w:rPr>
          <w:lang w:val="en-AU"/>
        </w:rPr>
        <w:t>s</w:t>
      </w:r>
      <w:r w:rsidR="005E405B" w:rsidRPr="00EF468C">
        <w:rPr>
          <w:lang w:val="en-AU"/>
        </w:rPr>
        <w:t xml:space="preserve"> i</w:t>
      </w:r>
      <w:r w:rsidR="00F33A02" w:rsidRPr="00EF468C">
        <w:rPr>
          <w:lang w:val="en-AU"/>
        </w:rPr>
        <w:t xml:space="preserve">s still salient enough for </w:t>
      </w:r>
      <w:r w:rsidR="00E47D1F" w:rsidRPr="00EF468C">
        <w:rPr>
          <w:lang w:val="en-AU"/>
        </w:rPr>
        <w:t>the</w:t>
      </w:r>
      <w:r w:rsidR="00F33A02" w:rsidRPr="00EF468C">
        <w:rPr>
          <w:lang w:val="en-AU"/>
        </w:rPr>
        <w:t xml:space="preserve"> relation</w:t>
      </w:r>
      <w:r w:rsidR="00E47D1F" w:rsidRPr="00EF468C">
        <w:rPr>
          <w:lang w:val="en-AU"/>
        </w:rPr>
        <w:t xml:space="preserve"> between parental attachment style and GAD symptoms</w:t>
      </w:r>
      <w:r w:rsidR="00F33A02" w:rsidRPr="00EF468C">
        <w:rPr>
          <w:lang w:val="en-AU"/>
        </w:rPr>
        <w:t xml:space="preserve"> to be </w:t>
      </w:r>
      <w:r w:rsidR="003E35C1" w:rsidRPr="00EF468C">
        <w:rPr>
          <w:lang w:val="en-AU"/>
        </w:rPr>
        <w:t>significant</w:t>
      </w:r>
      <w:r w:rsidR="00F33A02" w:rsidRPr="00EF468C">
        <w:rPr>
          <w:lang w:val="en-AU"/>
        </w:rPr>
        <w:t xml:space="preserve">. </w:t>
      </w:r>
      <w:r w:rsidR="006C5963" w:rsidRPr="00EF468C">
        <w:rPr>
          <w:lang w:val="en-AU"/>
        </w:rPr>
        <w:t xml:space="preserve">On the other hand, our study’s sample consisted of individuals </w:t>
      </w:r>
      <w:r w:rsidR="00E47D1F" w:rsidRPr="00EF468C">
        <w:rPr>
          <w:lang w:val="en-AU"/>
        </w:rPr>
        <w:t>from a clinical population</w:t>
      </w:r>
      <w:r w:rsidR="006C5963" w:rsidRPr="00EF468C">
        <w:rPr>
          <w:lang w:val="en-AU"/>
        </w:rPr>
        <w:t xml:space="preserve"> with their mean age </w:t>
      </w:r>
      <w:r w:rsidR="00B7082A" w:rsidRPr="00EF468C">
        <w:rPr>
          <w:lang w:val="en-AU"/>
        </w:rPr>
        <w:t>presenting</w:t>
      </w:r>
      <w:r w:rsidR="006C5963" w:rsidRPr="00EF468C">
        <w:rPr>
          <w:lang w:val="en-AU"/>
        </w:rPr>
        <w:t xml:space="preserve"> mature adulthood (M</w:t>
      </w:r>
      <w:r w:rsidR="006C5963" w:rsidRPr="00EF468C">
        <w:rPr>
          <w:vertAlign w:val="subscript"/>
          <w:lang w:val="en-AU"/>
        </w:rPr>
        <w:t>age</w:t>
      </w:r>
      <w:r w:rsidR="006C5963" w:rsidRPr="00EF468C">
        <w:rPr>
          <w:lang w:val="en-AU"/>
        </w:rPr>
        <w:t>=42.5).</w:t>
      </w:r>
      <w:r w:rsidR="00B7082A" w:rsidRPr="00EF468C">
        <w:rPr>
          <w:lang w:val="en-AU"/>
        </w:rPr>
        <w:t xml:space="preserve"> </w:t>
      </w:r>
      <w:r w:rsidR="003D68AC" w:rsidRPr="00EF468C">
        <w:rPr>
          <w:lang w:val="en-AU"/>
        </w:rPr>
        <w:t>Possibly,</w:t>
      </w:r>
      <w:r w:rsidR="00627DC0" w:rsidRPr="00EF468C">
        <w:rPr>
          <w:lang w:val="en-AU"/>
        </w:rPr>
        <w:t xml:space="preserve"> alienation patterns at this age reflect the </w:t>
      </w:r>
      <w:r w:rsidR="003D68AC" w:rsidRPr="00EF468C">
        <w:rPr>
          <w:lang w:val="en-AU"/>
        </w:rPr>
        <w:t xml:space="preserve">current </w:t>
      </w:r>
      <w:r w:rsidR="00627DC0" w:rsidRPr="00EF468C">
        <w:rPr>
          <w:lang w:val="en-AU"/>
        </w:rPr>
        <w:t xml:space="preserve">consequences of primary caregiver’s </w:t>
      </w:r>
      <w:proofErr w:type="spellStart"/>
      <w:r w:rsidR="00627DC0" w:rsidRPr="00EF468C">
        <w:rPr>
          <w:lang w:val="en-AU"/>
        </w:rPr>
        <w:t>behaviors</w:t>
      </w:r>
      <w:proofErr w:type="spellEnd"/>
      <w:r w:rsidR="005B75E8" w:rsidRPr="00EF468C">
        <w:rPr>
          <w:lang w:val="en-AU"/>
        </w:rPr>
        <w:t>,</w:t>
      </w:r>
      <w:r w:rsidR="00627DC0" w:rsidRPr="00EF468C">
        <w:rPr>
          <w:lang w:val="en-AU"/>
        </w:rPr>
        <w:t xml:space="preserve"> regarding the possibly developed insecure attachment</w:t>
      </w:r>
      <w:r w:rsidR="009C5641" w:rsidRPr="00EF468C">
        <w:rPr>
          <w:lang w:val="en-AU"/>
        </w:rPr>
        <w:t xml:space="preserve"> patterns</w:t>
      </w:r>
      <w:r w:rsidR="005B75E8" w:rsidRPr="00EF468C">
        <w:rPr>
          <w:lang w:val="en-AU"/>
        </w:rPr>
        <w:t xml:space="preserve">, but, </w:t>
      </w:r>
      <w:r w:rsidR="00627DC0" w:rsidRPr="00EF468C">
        <w:rPr>
          <w:lang w:val="en-AU"/>
        </w:rPr>
        <w:t>their influence is less salient in everyday lives</w:t>
      </w:r>
      <w:r w:rsidR="00E47D1F" w:rsidRPr="00EF468C">
        <w:rPr>
          <w:lang w:val="en-AU"/>
        </w:rPr>
        <w:t xml:space="preserve"> of these individuals</w:t>
      </w:r>
      <w:r w:rsidR="00627DC0" w:rsidRPr="00EF468C">
        <w:rPr>
          <w:lang w:val="en-AU"/>
        </w:rPr>
        <w:t xml:space="preserve">, </w:t>
      </w:r>
      <w:r w:rsidR="005B75E8" w:rsidRPr="00EF468C">
        <w:rPr>
          <w:lang w:val="en-AU"/>
        </w:rPr>
        <w:t>while</w:t>
      </w:r>
      <w:r w:rsidR="00627DC0" w:rsidRPr="00EF468C">
        <w:rPr>
          <w:lang w:val="en-AU"/>
        </w:rPr>
        <w:t xml:space="preserve"> peer networks become </w:t>
      </w:r>
      <w:r w:rsidR="00E47D1F" w:rsidRPr="00EF468C">
        <w:rPr>
          <w:lang w:val="en-AU"/>
        </w:rPr>
        <w:t xml:space="preserve">a </w:t>
      </w:r>
      <w:r w:rsidR="00627DC0" w:rsidRPr="00EF468C">
        <w:rPr>
          <w:lang w:val="en-AU"/>
        </w:rPr>
        <w:t xml:space="preserve">more important interpersonal variable. </w:t>
      </w:r>
      <w:r w:rsidR="005B75E8" w:rsidRPr="00EF468C">
        <w:rPr>
          <w:lang w:val="en-AU"/>
        </w:rPr>
        <w:t>Namely, it i</w:t>
      </w:r>
      <w:r w:rsidR="00E645D7" w:rsidRPr="00EF468C">
        <w:rPr>
          <w:lang w:val="en-AU"/>
        </w:rPr>
        <w:t>s possible that in later mature adulthood the overlap between parental and peer variables</w:t>
      </w:r>
      <w:r w:rsidR="009C5641" w:rsidRPr="00EF468C">
        <w:rPr>
          <w:lang w:val="en-AU"/>
        </w:rPr>
        <w:t>’ influences</w:t>
      </w:r>
      <w:r w:rsidR="00E645D7" w:rsidRPr="00EF468C">
        <w:rPr>
          <w:lang w:val="en-AU"/>
        </w:rPr>
        <w:t xml:space="preserve"> </w:t>
      </w:r>
      <w:r w:rsidR="00D81858" w:rsidRPr="00EF468C">
        <w:rPr>
          <w:lang w:val="en-AU"/>
        </w:rPr>
        <w:t>gradually disappears as</w:t>
      </w:r>
      <w:r w:rsidR="00E645D7" w:rsidRPr="00EF468C">
        <w:rPr>
          <w:lang w:val="en-AU"/>
        </w:rPr>
        <w:t xml:space="preserve"> the role </w:t>
      </w:r>
      <w:r w:rsidR="00D81858" w:rsidRPr="00EF468C">
        <w:rPr>
          <w:lang w:val="en-AU"/>
        </w:rPr>
        <w:t xml:space="preserve">and importance </w:t>
      </w:r>
      <w:r w:rsidR="00E645D7" w:rsidRPr="00EF468C">
        <w:rPr>
          <w:lang w:val="en-AU"/>
        </w:rPr>
        <w:t xml:space="preserve">of </w:t>
      </w:r>
      <w:r w:rsidR="00D81858" w:rsidRPr="00EF468C">
        <w:rPr>
          <w:lang w:val="en-AU"/>
        </w:rPr>
        <w:t>social</w:t>
      </w:r>
      <w:r w:rsidR="009C5641" w:rsidRPr="00EF468C">
        <w:rPr>
          <w:lang w:val="en-AU"/>
        </w:rPr>
        <w:t>/peer</w:t>
      </w:r>
      <w:r w:rsidR="00D81858" w:rsidRPr="00EF468C">
        <w:rPr>
          <w:lang w:val="en-AU"/>
        </w:rPr>
        <w:t xml:space="preserve"> networks becomes more </w:t>
      </w:r>
      <w:r w:rsidR="00E47D1F" w:rsidRPr="00EF468C">
        <w:rPr>
          <w:lang w:val="en-AU"/>
        </w:rPr>
        <w:t xml:space="preserve">present and more </w:t>
      </w:r>
      <w:r w:rsidR="00D81858" w:rsidRPr="00EF468C">
        <w:rPr>
          <w:lang w:val="en-AU"/>
        </w:rPr>
        <w:t xml:space="preserve">pronounced in individual’s everyday </w:t>
      </w:r>
      <w:r w:rsidR="00E47D1F" w:rsidRPr="00EF468C">
        <w:rPr>
          <w:lang w:val="en-AU"/>
        </w:rPr>
        <w:t>activities</w:t>
      </w:r>
      <w:r w:rsidR="00D81858" w:rsidRPr="00EF468C">
        <w:rPr>
          <w:lang w:val="en-AU"/>
        </w:rPr>
        <w:t xml:space="preserve">. </w:t>
      </w:r>
      <w:r w:rsidR="005512A9" w:rsidRPr="00EF468C">
        <w:rPr>
          <w:lang w:val="en-AU"/>
        </w:rPr>
        <w:t xml:space="preserve">The next </w:t>
      </w:r>
      <w:r w:rsidR="00E47D1F" w:rsidRPr="00EF468C">
        <w:rPr>
          <w:lang w:val="en-AU"/>
        </w:rPr>
        <w:t xml:space="preserve">two </w:t>
      </w:r>
      <w:r w:rsidR="005512A9" w:rsidRPr="00EF468C">
        <w:rPr>
          <w:lang w:val="en-AU"/>
        </w:rPr>
        <w:t>paragraph</w:t>
      </w:r>
      <w:r w:rsidR="00E47D1F" w:rsidRPr="00EF468C">
        <w:rPr>
          <w:lang w:val="en-AU"/>
        </w:rPr>
        <w:t>s discuss</w:t>
      </w:r>
      <w:r w:rsidR="005512A9" w:rsidRPr="00EF468C">
        <w:rPr>
          <w:lang w:val="en-AU"/>
        </w:rPr>
        <w:t xml:space="preserve"> </w:t>
      </w:r>
      <w:r w:rsidR="00E47D1F" w:rsidRPr="00EF468C">
        <w:rPr>
          <w:lang w:val="en-AU"/>
        </w:rPr>
        <w:t xml:space="preserve">this notion </w:t>
      </w:r>
      <w:r w:rsidR="005512A9" w:rsidRPr="00EF468C">
        <w:rPr>
          <w:lang w:val="en-AU"/>
        </w:rPr>
        <w:t xml:space="preserve">more thoroughly </w:t>
      </w:r>
      <w:r w:rsidR="00E47D1F" w:rsidRPr="00EF468C">
        <w:rPr>
          <w:lang w:val="en-AU"/>
        </w:rPr>
        <w:t xml:space="preserve">through </w:t>
      </w:r>
      <w:r w:rsidR="005512A9" w:rsidRPr="00EF468C">
        <w:rPr>
          <w:lang w:val="en-AU"/>
        </w:rPr>
        <w:t>the observed relations between peer alienation, worry, AS and GAD symptoms.</w:t>
      </w:r>
    </w:p>
    <w:p w:rsidR="005512A9" w:rsidRPr="00EF468C" w:rsidRDefault="005512A9" w:rsidP="00C37BC6">
      <w:pPr>
        <w:autoSpaceDE w:val="0"/>
        <w:autoSpaceDN w:val="0"/>
        <w:adjustRightInd w:val="0"/>
        <w:spacing w:line="480" w:lineRule="auto"/>
        <w:jc w:val="both"/>
        <w:outlineLvl w:val="0"/>
        <w:rPr>
          <w:b/>
          <w:i/>
          <w:lang w:val="en-AU"/>
        </w:rPr>
      </w:pPr>
    </w:p>
    <w:p w:rsidR="003B2B78" w:rsidRPr="00EF468C" w:rsidRDefault="00EF0BF0" w:rsidP="00C37BC6">
      <w:pPr>
        <w:autoSpaceDE w:val="0"/>
        <w:autoSpaceDN w:val="0"/>
        <w:adjustRightInd w:val="0"/>
        <w:spacing w:line="480" w:lineRule="auto"/>
        <w:jc w:val="both"/>
        <w:outlineLvl w:val="0"/>
        <w:rPr>
          <w:b/>
          <w:i/>
          <w:lang w:val="en-AU"/>
        </w:rPr>
      </w:pPr>
      <w:r w:rsidRPr="00EF468C">
        <w:rPr>
          <w:b/>
          <w:i/>
          <w:lang w:val="en-AU"/>
        </w:rPr>
        <w:t>Current worry,</w:t>
      </w:r>
      <w:r w:rsidR="006317B8" w:rsidRPr="00EF468C">
        <w:rPr>
          <w:b/>
          <w:i/>
          <w:lang w:val="en-AU"/>
        </w:rPr>
        <w:t xml:space="preserve"> </w:t>
      </w:r>
      <w:r w:rsidR="00980BDF" w:rsidRPr="00EF468C">
        <w:rPr>
          <w:b/>
          <w:i/>
          <w:lang w:val="en-AU"/>
        </w:rPr>
        <w:t xml:space="preserve">generalized anxiety disorder, anxiety sensitivity </w:t>
      </w:r>
      <w:r w:rsidR="006317B8" w:rsidRPr="00EF468C">
        <w:rPr>
          <w:b/>
          <w:i/>
          <w:lang w:val="en-AU"/>
        </w:rPr>
        <w:t>and peer alienation</w:t>
      </w:r>
    </w:p>
    <w:p w:rsidR="003B2B78" w:rsidRPr="00EF468C" w:rsidRDefault="003B2B78" w:rsidP="003B2B78">
      <w:pPr>
        <w:autoSpaceDE w:val="0"/>
        <w:autoSpaceDN w:val="0"/>
        <w:adjustRightInd w:val="0"/>
        <w:spacing w:line="480" w:lineRule="auto"/>
        <w:jc w:val="both"/>
        <w:rPr>
          <w:lang w:val="en-AU"/>
        </w:rPr>
      </w:pPr>
      <w:r w:rsidRPr="00EF468C">
        <w:rPr>
          <w:lang w:val="en-AU"/>
        </w:rPr>
        <w:t xml:space="preserve">Our findings from a clinical sample also confirm the notion of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that perceptions of alienation appear to be a salient construct in relation to present levels of uncontrollable worry and GAD symptoms. However, they also seem to suggest a more salient role of perceived peer alienation in individuals with a diagnosis of mental illness. The observed correlations between AS and </w:t>
      </w:r>
      <w:r w:rsidR="005B75E8" w:rsidRPr="00EF468C">
        <w:rPr>
          <w:lang w:val="en-AU"/>
        </w:rPr>
        <w:t>worry</w:t>
      </w:r>
      <w:r w:rsidRPr="00EF468C">
        <w:rPr>
          <w:lang w:val="en-AU"/>
        </w:rPr>
        <w:t xml:space="preserve"> also imply that a greater focus on </w:t>
      </w:r>
      <w:proofErr w:type="spellStart"/>
      <w:r w:rsidRPr="00EF468C">
        <w:rPr>
          <w:lang w:val="en-AU"/>
        </w:rPr>
        <w:t>interoceptive</w:t>
      </w:r>
      <w:proofErr w:type="spellEnd"/>
      <w:r w:rsidRPr="00EF468C">
        <w:rPr>
          <w:lang w:val="en-AU"/>
        </w:rPr>
        <w:t xml:space="preserve"> cues and somatic symptoms is also characteristic of those who chronically worry (</w:t>
      </w:r>
      <w:proofErr w:type="spellStart"/>
      <w:r w:rsidRPr="00EF468C">
        <w:rPr>
          <w:lang w:val="en-AU"/>
        </w:rPr>
        <w:t>Viana</w:t>
      </w:r>
      <w:proofErr w:type="spellEnd"/>
      <w:r w:rsidRPr="00EF468C">
        <w:rPr>
          <w:lang w:val="en-AU"/>
        </w:rPr>
        <w:t xml:space="preserve"> &amp; </w:t>
      </w:r>
      <w:proofErr w:type="spellStart"/>
      <w:r w:rsidRPr="00EF468C">
        <w:rPr>
          <w:lang w:val="en-AU"/>
        </w:rPr>
        <w:lastRenderedPageBreak/>
        <w:t>Rabian</w:t>
      </w:r>
      <w:proofErr w:type="spellEnd"/>
      <w:r w:rsidRPr="00EF468C">
        <w:rPr>
          <w:lang w:val="en-AU"/>
        </w:rPr>
        <w:t xml:space="preserve">, 2008; </w:t>
      </w:r>
      <w:proofErr w:type="spellStart"/>
      <w:r w:rsidRPr="00EF468C">
        <w:rPr>
          <w:lang w:val="en-AU"/>
        </w:rPr>
        <w:t>Leen-Feldner</w:t>
      </w:r>
      <w:proofErr w:type="spellEnd"/>
      <w:r w:rsidRPr="00EF468C">
        <w:rPr>
          <w:lang w:val="en-AU"/>
        </w:rPr>
        <w:t xml:space="preserve">, </w:t>
      </w:r>
      <w:proofErr w:type="spellStart"/>
      <w:r w:rsidRPr="00EF468C">
        <w:rPr>
          <w:lang w:val="en-AU"/>
        </w:rPr>
        <w:t>Feldner</w:t>
      </w:r>
      <w:proofErr w:type="spellEnd"/>
      <w:r w:rsidRPr="00EF468C">
        <w:rPr>
          <w:lang w:val="en-AU"/>
        </w:rPr>
        <w:t xml:space="preserve">, </w:t>
      </w:r>
      <w:proofErr w:type="spellStart"/>
      <w:r w:rsidRPr="00EF468C">
        <w:rPr>
          <w:lang w:val="en-AU"/>
        </w:rPr>
        <w:t>Tull</w:t>
      </w:r>
      <w:proofErr w:type="spellEnd"/>
      <w:r w:rsidRPr="00EF468C">
        <w:rPr>
          <w:lang w:val="en-AU"/>
        </w:rPr>
        <w:t xml:space="preserve">, Roemer, &amp; </w:t>
      </w:r>
      <w:proofErr w:type="spellStart"/>
      <w:r w:rsidRPr="00EF468C">
        <w:rPr>
          <w:lang w:val="en-AU"/>
        </w:rPr>
        <w:t>Zvolensky</w:t>
      </w:r>
      <w:proofErr w:type="spellEnd"/>
      <w:r w:rsidRPr="00EF468C">
        <w:rPr>
          <w:lang w:val="en-AU"/>
        </w:rPr>
        <w:t xml:space="preserve">, 2006; Nay, Thorpe, Roberson-Nay, Hecker, &amp; </w:t>
      </w:r>
      <w:proofErr w:type="spellStart"/>
      <w:r w:rsidRPr="00EF468C">
        <w:rPr>
          <w:lang w:val="en-AU"/>
        </w:rPr>
        <w:t>Sigmon</w:t>
      </w:r>
      <w:proofErr w:type="spellEnd"/>
      <w:r w:rsidRPr="00EF468C">
        <w:rPr>
          <w:lang w:val="en-AU"/>
        </w:rPr>
        <w:t>, 2004).</w:t>
      </w:r>
    </w:p>
    <w:p w:rsidR="006317B8" w:rsidRPr="00EF468C" w:rsidRDefault="003B2B78" w:rsidP="003B2B78">
      <w:pPr>
        <w:autoSpaceDE w:val="0"/>
        <w:autoSpaceDN w:val="0"/>
        <w:adjustRightInd w:val="0"/>
        <w:spacing w:line="480" w:lineRule="auto"/>
        <w:jc w:val="both"/>
        <w:rPr>
          <w:b/>
          <w:lang w:val="en-AU"/>
        </w:rPr>
      </w:pPr>
      <w:r w:rsidRPr="00EF468C">
        <w:rPr>
          <w:lang w:val="en-AU"/>
        </w:rPr>
        <w:t xml:space="preserve">As mentioned before, partially in accordance with the findings of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participants in this study did report greater perceptions of alienation from peers. This finding is also consistent with the notion of </w:t>
      </w:r>
      <w:proofErr w:type="spellStart"/>
      <w:r w:rsidRPr="00EF468C">
        <w:rPr>
          <w:lang w:val="en-AU"/>
        </w:rPr>
        <w:t>Sroufe</w:t>
      </w:r>
      <w:proofErr w:type="spellEnd"/>
      <w:r w:rsidRPr="00EF468C">
        <w:rPr>
          <w:lang w:val="en-AU"/>
        </w:rPr>
        <w:t xml:space="preserve">, Duggal, </w:t>
      </w:r>
      <w:proofErr w:type="spellStart"/>
      <w:r w:rsidRPr="00EF468C">
        <w:rPr>
          <w:lang w:val="en-AU"/>
        </w:rPr>
        <w:t>Weinfield</w:t>
      </w:r>
      <w:proofErr w:type="spellEnd"/>
      <w:r w:rsidRPr="00EF468C">
        <w:rPr>
          <w:lang w:val="en-AU"/>
        </w:rPr>
        <w:t xml:space="preserve">, </w:t>
      </w:r>
      <w:r w:rsidR="005B75E8" w:rsidRPr="00EF468C">
        <w:rPr>
          <w:lang w:val="en-AU"/>
        </w:rPr>
        <w:t>and</w:t>
      </w:r>
      <w:r w:rsidRPr="00EF468C">
        <w:rPr>
          <w:lang w:val="en-AU"/>
        </w:rPr>
        <w:t xml:space="preserve"> Carlson (2002) that perceived alienation from a greater number of support systems, beyond the caregiver environment, may be related to higher symptoms of psychopathology. This may also be especially true for individuals with clinical levels of worry and GAD symptoms, as was observed in our study.</w:t>
      </w:r>
      <w:r w:rsidR="002671D7" w:rsidRPr="00EF468C">
        <w:rPr>
          <w:b/>
          <w:lang w:val="en-AU"/>
        </w:rPr>
        <w:t xml:space="preserve"> </w:t>
      </w:r>
      <w:r w:rsidRPr="00EF468C">
        <w:rPr>
          <w:lang w:val="en-AU"/>
        </w:rPr>
        <w:t xml:space="preserve">To our knowledge, this is the first study that has specifically examined perceptions of alienation from parents and peers and their relation to AS, worry and GAD symptoms in a clinical sample of participants. </w:t>
      </w:r>
      <w:proofErr w:type="gramStart"/>
      <w:r w:rsidRPr="00EF468C">
        <w:rPr>
          <w:lang w:val="en-AU"/>
        </w:rPr>
        <w:t>In accordance with previous findings on non-clinical samples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Floyd, Garfield, &amp; </w:t>
      </w:r>
      <w:proofErr w:type="spellStart"/>
      <w:r w:rsidRPr="00EF468C">
        <w:rPr>
          <w:lang w:val="en-AU"/>
        </w:rPr>
        <w:t>LaSota</w:t>
      </w:r>
      <w:proofErr w:type="spellEnd"/>
      <w:r w:rsidRPr="00EF468C">
        <w:rPr>
          <w:lang w:val="en-AU"/>
        </w:rPr>
        <w:t>, 2005; Taylor, 1999), AS was significantly related to current worry and GAD symptoms.</w:t>
      </w:r>
      <w:proofErr w:type="gramEnd"/>
      <w:r w:rsidRPr="00EF468C">
        <w:rPr>
          <w:lang w:val="en-AU"/>
        </w:rPr>
        <w:t xml:space="preserve"> This suggests that beyond its major role in the development of panic disorder, AS may also have an important role in exacerbation of pathological worry and the development of </w:t>
      </w:r>
      <w:r w:rsidR="00355949" w:rsidRPr="00EF468C">
        <w:rPr>
          <w:lang w:val="en-AU"/>
        </w:rPr>
        <w:t>GAD that</w:t>
      </w:r>
      <w:r w:rsidR="005B75E8" w:rsidRPr="00EF468C">
        <w:rPr>
          <w:lang w:val="en-AU"/>
        </w:rPr>
        <w:t xml:space="preserve"> will be discussed in</w:t>
      </w:r>
      <w:r w:rsidR="00DE5048" w:rsidRPr="00EF468C">
        <w:rPr>
          <w:lang w:val="en-AU"/>
        </w:rPr>
        <w:t xml:space="preserve"> more detail in the next section</w:t>
      </w:r>
      <w:r w:rsidRPr="00EF468C">
        <w:rPr>
          <w:lang w:val="en-AU"/>
        </w:rPr>
        <w:t>.</w:t>
      </w:r>
      <w:r w:rsidR="00DE5048" w:rsidRPr="00EF468C">
        <w:rPr>
          <w:lang w:val="en-AU"/>
        </w:rPr>
        <w:t xml:space="preserve"> </w:t>
      </w:r>
    </w:p>
    <w:p w:rsidR="006317B8" w:rsidRPr="00EF468C" w:rsidRDefault="006317B8" w:rsidP="003B2B78">
      <w:pPr>
        <w:autoSpaceDE w:val="0"/>
        <w:autoSpaceDN w:val="0"/>
        <w:adjustRightInd w:val="0"/>
        <w:spacing w:line="480" w:lineRule="auto"/>
        <w:jc w:val="both"/>
        <w:rPr>
          <w:lang w:val="en-AU"/>
        </w:rPr>
      </w:pPr>
    </w:p>
    <w:p w:rsidR="003B2B78" w:rsidRPr="00EF468C" w:rsidRDefault="00980BDF" w:rsidP="00C37BC6">
      <w:pPr>
        <w:autoSpaceDE w:val="0"/>
        <w:autoSpaceDN w:val="0"/>
        <w:adjustRightInd w:val="0"/>
        <w:spacing w:line="480" w:lineRule="auto"/>
        <w:jc w:val="both"/>
        <w:outlineLvl w:val="0"/>
        <w:rPr>
          <w:b/>
          <w:i/>
          <w:lang w:val="en-AU"/>
        </w:rPr>
      </w:pPr>
      <w:r w:rsidRPr="00EF468C">
        <w:rPr>
          <w:b/>
          <w:i/>
          <w:lang w:val="en-AU"/>
        </w:rPr>
        <w:t>Anxiety sensitivity</w:t>
      </w:r>
      <w:r w:rsidR="006317B8" w:rsidRPr="00EF468C">
        <w:rPr>
          <w:b/>
          <w:i/>
          <w:lang w:val="en-AU"/>
        </w:rPr>
        <w:t xml:space="preserve"> as a media</w:t>
      </w:r>
      <w:r w:rsidR="00206BBA" w:rsidRPr="00EF468C">
        <w:rPr>
          <w:b/>
          <w:i/>
          <w:lang w:val="en-AU"/>
        </w:rPr>
        <w:t xml:space="preserve">tor between peer alienation, current </w:t>
      </w:r>
      <w:r w:rsidR="006317B8" w:rsidRPr="00EF468C">
        <w:rPr>
          <w:b/>
          <w:i/>
          <w:lang w:val="en-AU"/>
        </w:rPr>
        <w:t xml:space="preserve">worry and </w:t>
      </w:r>
      <w:r w:rsidRPr="00EF468C">
        <w:rPr>
          <w:b/>
          <w:i/>
          <w:lang w:val="en-AU"/>
        </w:rPr>
        <w:t xml:space="preserve">generalized anxiety disorder </w:t>
      </w:r>
      <w:r w:rsidR="006317B8" w:rsidRPr="00EF468C">
        <w:rPr>
          <w:b/>
          <w:i/>
          <w:lang w:val="en-AU"/>
        </w:rPr>
        <w:t>symptoms</w:t>
      </w:r>
    </w:p>
    <w:p w:rsidR="00704D8E" w:rsidRPr="00EF468C" w:rsidRDefault="003B2B78" w:rsidP="003B2B78">
      <w:pPr>
        <w:autoSpaceDE w:val="0"/>
        <w:autoSpaceDN w:val="0"/>
        <w:adjustRightInd w:val="0"/>
        <w:spacing w:line="480" w:lineRule="auto"/>
        <w:jc w:val="both"/>
        <w:rPr>
          <w:lang w:val="en-AU"/>
        </w:rPr>
      </w:pPr>
      <w:r w:rsidRPr="00EF468C">
        <w:rPr>
          <w:lang w:val="en-AU"/>
        </w:rPr>
        <w:t xml:space="preserve">Greater perceptions of alienation and withdrawal from peers only, independent of current worry and GAD symptoms, were significantly related with fears of anxiety-related sensations as measured by the ASI. These findings accentuate that in later life, poorer attachment to friends, and feelings of alienation specifically, may be implicated in exacerbation of AS, possibly due to the more salient role that social support networks have in later life of an individual, beyond the role of primary caregiver. This study is also first in examining the </w:t>
      </w:r>
      <w:r w:rsidRPr="00EF468C">
        <w:rPr>
          <w:lang w:val="en-AU"/>
        </w:rPr>
        <w:lastRenderedPageBreak/>
        <w:t xml:space="preserve">mediating role of AS between perceptions of alienation from peers and current worry as well as GAD symptoms on a clinical sample of participants. In accordance with the findings of </w:t>
      </w:r>
      <w:proofErr w:type="spellStart"/>
      <w:r w:rsidRPr="00EF468C">
        <w:rPr>
          <w:lang w:val="en-AU"/>
        </w:rPr>
        <w:t>Viana</w:t>
      </w:r>
      <w:proofErr w:type="spellEnd"/>
      <w:r w:rsidRPr="00EF468C">
        <w:rPr>
          <w:lang w:val="en-AU"/>
        </w:rPr>
        <w:t xml:space="preserve"> &amp; </w:t>
      </w:r>
      <w:proofErr w:type="spellStart"/>
      <w:r w:rsidRPr="00EF468C">
        <w:rPr>
          <w:lang w:val="en-AU"/>
        </w:rPr>
        <w:t>Rabian</w:t>
      </w:r>
      <w:proofErr w:type="spellEnd"/>
      <w:r w:rsidRPr="00EF468C">
        <w:rPr>
          <w:lang w:val="en-AU"/>
        </w:rPr>
        <w:t xml:space="preserve"> (2008) in their sample of undergraduate students, the relation between perceptions of alienation from peers and symptoms of worry and GAD was fully mediated by current AS symptoms. As noted by Weems et al. (2002), the quality of attachments may be particularly important in the development of beliefs regarding the social consequences of anxiety sensations.</w:t>
      </w:r>
      <w:r w:rsidR="00586D2A" w:rsidRPr="00EF468C">
        <w:rPr>
          <w:lang w:val="en-AU"/>
        </w:rPr>
        <w:t xml:space="preserve"> </w:t>
      </w:r>
      <w:r w:rsidRPr="00EF468C">
        <w:rPr>
          <w:lang w:val="en-AU"/>
        </w:rPr>
        <w:t xml:space="preserve">These findings suggest that stronger feelings of estrangement from the social support network are associated not only with present levels of worry and GAD symptoms but that this association is mediated by the way individuals come to appraise their own anxiety-related sensations. </w:t>
      </w:r>
    </w:p>
    <w:p w:rsidR="00704D8E" w:rsidRPr="00EF468C" w:rsidRDefault="00704D8E" w:rsidP="00704D8E">
      <w:pPr>
        <w:autoSpaceDE w:val="0"/>
        <w:autoSpaceDN w:val="0"/>
        <w:adjustRightInd w:val="0"/>
        <w:spacing w:line="480" w:lineRule="auto"/>
        <w:jc w:val="both"/>
        <w:outlineLvl w:val="0"/>
        <w:rPr>
          <w:lang w:val="en-AU"/>
        </w:rPr>
      </w:pPr>
      <w:r w:rsidRPr="00EF468C">
        <w:rPr>
          <w:lang w:val="en-AU"/>
        </w:rPr>
        <w:t xml:space="preserve">In order for the results of this study to be understood in a more complete way, the next paragraph elaborates more thoroughly the possible role of insecure attachment </w:t>
      </w:r>
      <w:r w:rsidR="00B84709" w:rsidRPr="00EF468C">
        <w:rPr>
          <w:lang w:val="en-AU"/>
        </w:rPr>
        <w:t xml:space="preserve">and AS </w:t>
      </w:r>
      <w:r w:rsidRPr="00EF468C">
        <w:rPr>
          <w:lang w:val="en-AU"/>
        </w:rPr>
        <w:t xml:space="preserve">in GAD individuals’ social functioning and the exacerbation of worry symptoms. </w:t>
      </w:r>
    </w:p>
    <w:p w:rsidR="00125E32" w:rsidRPr="00EF468C" w:rsidRDefault="00125E32" w:rsidP="003B2B78">
      <w:pPr>
        <w:autoSpaceDE w:val="0"/>
        <w:autoSpaceDN w:val="0"/>
        <w:adjustRightInd w:val="0"/>
        <w:spacing w:line="480" w:lineRule="auto"/>
        <w:jc w:val="both"/>
        <w:rPr>
          <w:lang w:val="en-AU"/>
        </w:rPr>
      </w:pPr>
    </w:p>
    <w:p w:rsidR="003B2B78" w:rsidRPr="00EF468C" w:rsidRDefault="00125E32" w:rsidP="00C37BC6">
      <w:pPr>
        <w:autoSpaceDE w:val="0"/>
        <w:autoSpaceDN w:val="0"/>
        <w:adjustRightInd w:val="0"/>
        <w:spacing w:line="480" w:lineRule="auto"/>
        <w:jc w:val="both"/>
        <w:outlineLvl w:val="0"/>
        <w:rPr>
          <w:b/>
          <w:i/>
          <w:lang w:val="en-AU"/>
        </w:rPr>
      </w:pPr>
      <w:r w:rsidRPr="00EF468C">
        <w:rPr>
          <w:b/>
          <w:i/>
          <w:lang w:val="en-AU"/>
        </w:rPr>
        <w:t xml:space="preserve">The possible role of insecure attachment </w:t>
      </w:r>
      <w:r w:rsidR="007372BD" w:rsidRPr="00EF468C">
        <w:rPr>
          <w:b/>
          <w:i/>
          <w:lang w:val="en-AU"/>
        </w:rPr>
        <w:t xml:space="preserve">and </w:t>
      </w:r>
      <w:r w:rsidR="00980BDF" w:rsidRPr="00EF468C">
        <w:rPr>
          <w:b/>
          <w:i/>
          <w:lang w:val="en-AU"/>
        </w:rPr>
        <w:t>anxiety sensitivity</w:t>
      </w:r>
      <w:r w:rsidR="007372BD" w:rsidRPr="00EF468C">
        <w:rPr>
          <w:b/>
          <w:i/>
          <w:lang w:val="en-AU"/>
        </w:rPr>
        <w:t xml:space="preserve"> </w:t>
      </w:r>
      <w:r w:rsidR="00980BDF" w:rsidRPr="00EF468C">
        <w:rPr>
          <w:b/>
          <w:i/>
          <w:lang w:val="en-AU"/>
        </w:rPr>
        <w:t>in generalized anxiety disorder</w:t>
      </w:r>
      <w:r w:rsidRPr="00EF468C">
        <w:rPr>
          <w:b/>
          <w:i/>
          <w:lang w:val="en-AU"/>
        </w:rPr>
        <w:t xml:space="preserve"> individuals</w:t>
      </w:r>
      <w:r w:rsidR="004D290B" w:rsidRPr="00EF468C">
        <w:rPr>
          <w:b/>
          <w:i/>
          <w:lang w:val="en-AU"/>
        </w:rPr>
        <w:t>’</w:t>
      </w:r>
      <w:r w:rsidRPr="00EF468C">
        <w:rPr>
          <w:b/>
          <w:i/>
          <w:lang w:val="en-AU"/>
        </w:rPr>
        <w:t xml:space="preserve"> </w:t>
      </w:r>
      <w:r w:rsidR="005924D5" w:rsidRPr="00EF468C">
        <w:rPr>
          <w:b/>
          <w:i/>
          <w:lang w:val="en-AU"/>
        </w:rPr>
        <w:t>social functioning</w:t>
      </w:r>
    </w:p>
    <w:p w:rsidR="003B2B78" w:rsidRPr="00EF468C" w:rsidRDefault="003B2B78" w:rsidP="003B2B78">
      <w:pPr>
        <w:autoSpaceDE w:val="0"/>
        <w:autoSpaceDN w:val="0"/>
        <w:adjustRightInd w:val="0"/>
        <w:spacing w:line="480" w:lineRule="auto"/>
        <w:jc w:val="both"/>
        <w:rPr>
          <w:lang w:val="en-AU"/>
        </w:rPr>
      </w:pPr>
      <w:r w:rsidRPr="00EF468C">
        <w:rPr>
          <w:lang w:val="en-AU"/>
        </w:rPr>
        <w:t xml:space="preserve">In a more general framework, these findings may be related to the hypothesis of Cassidy </w:t>
      </w:r>
      <w:proofErr w:type="gramStart"/>
      <w:r w:rsidRPr="00EF468C">
        <w:rPr>
          <w:lang w:val="en-AU"/>
        </w:rPr>
        <w:t>et</w:t>
      </w:r>
      <w:proofErr w:type="gramEnd"/>
      <w:r w:rsidRPr="00EF468C">
        <w:rPr>
          <w:lang w:val="en-AU"/>
        </w:rPr>
        <w:t>. al. (2009) that developmental roots of GAD lie in insecure attachment</w:t>
      </w:r>
      <w:r w:rsidR="005B75E8" w:rsidRPr="00EF468C">
        <w:rPr>
          <w:lang w:val="en-AU"/>
        </w:rPr>
        <w:t>,</w:t>
      </w:r>
      <w:r w:rsidRPr="00EF468C">
        <w:rPr>
          <w:lang w:val="en-AU"/>
        </w:rPr>
        <w:t xml:space="preserve"> where later is seen as „a relational emotion regulation system“. According to this hypothesis, a child grows confidence that distressing emotions are tolerable through the representations of others as available and responsive, and of the self as capable of eliciting such care. In this way, a child grows a tendency to seek soothing during distressing moments and gains the capacity for </w:t>
      </w:r>
      <w:r w:rsidR="00853217" w:rsidRPr="00EF468C">
        <w:rPr>
          <w:lang w:val="en-AU"/>
        </w:rPr>
        <w:t>self-soothing</w:t>
      </w:r>
      <w:r w:rsidRPr="00EF468C">
        <w:rPr>
          <w:lang w:val="en-AU"/>
        </w:rPr>
        <w:t xml:space="preserve"> over time. This pattern describes how secure attachment is formed. However, insecure attachment is viewed as a result of a lack of availability of a child's caregiver during moments of distress and anxiety. Namely, according to Cassidy et al., (2009), a child may </w:t>
      </w:r>
      <w:r w:rsidRPr="00EF468C">
        <w:rPr>
          <w:lang w:val="en-AU"/>
        </w:rPr>
        <w:lastRenderedPageBreak/>
        <w:t>incorporate into his/her working models of the world and others that his/her feelings of anxiety are to be managed without the support of t</w:t>
      </w:r>
      <w:r w:rsidR="00097F2A" w:rsidRPr="00EF468C">
        <w:rPr>
          <w:lang w:val="en-AU"/>
        </w:rPr>
        <w:t>he caregiver. This can lead to the</w:t>
      </w:r>
      <w:r w:rsidRPr="00EF468C">
        <w:rPr>
          <w:lang w:val="en-AU"/>
        </w:rPr>
        <w:t xml:space="preserve"> formation of one of two major patterns of responding to distressing emotions: avoidant (suppression and denial of stressors and withdrawal from relationships) or anxious (magnifying stressors and ruminating about problems) attachment. These repeated transactions may cause the individual t</w:t>
      </w:r>
      <w:r w:rsidR="00A64532" w:rsidRPr="00EF468C">
        <w:rPr>
          <w:lang w:val="en-AU"/>
        </w:rPr>
        <w:t xml:space="preserve">o continue </w:t>
      </w:r>
      <w:r w:rsidRPr="00EF468C">
        <w:rPr>
          <w:lang w:val="en-AU"/>
        </w:rPr>
        <w:t>fearing and catastrophizing the discomfort associated with anxiety sensations in adulthood</w:t>
      </w:r>
      <w:r w:rsidR="00097F2A" w:rsidRPr="00EF468C">
        <w:rPr>
          <w:lang w:val="en-AU"/>
        </w:rPr>
        <w:t>,</w:t>
      </w:r>
      <w:r w:rsidRPr="00EF468C">
        <w:rPr>
          <w:lang w:val="en-AU"/>
        </w:rPr>
        <w:t xml:space="preserve"> in anticipation that no one will provide help and/or support when those feelings are experienced. </w:t>
      </w:r>
    </w:p>
    <w:p w:rsidR="002857E8" w:rsidRPr="00EF468C" w:rsidRDefault="003B2B78" w:rsidP="003B2B78">
      <w:pPr>
        <w:autoSpaceDE w:val="0"/>
        <w:autoSpaceDN w:val="0"/>
        <w:adjustRightInd w:val="0"/>
        <w:spacing w:line="480" w:lineRule="auto"/>
        <w:jc w:val="both"/>
        <w:rPr>
          <w:lang w:val="en-AU"/>
        </w:rPr>
      </w:pPr>
      <w:r w:rsidRPr="00EF468C">
        <w:rPr>
          <w:lang w:val="en-AU"/>
        </w:rPr>
        <w:t>Also, the perception of peer unavailability in association with experiences of anxiety</w:t>
      </w:r>
      <w:r w:rsidR="00097F2A" w:rsidRPr="00EF468C">
        <w:rPr>
          <w:lang w:val="en-AU"/>
        </w:rPr>
        <w:t>,</w:t>
      </w:r>
      <w:r w:rsidRPr="00EF468C">
        <w:rPr>
          <w:lang w:val="en-AU"/>
        </w:rPr>
        <w:t xml:space="preserve"> that are perceived as </w:t>
      </w:r>
      <w:r w:rsidRPr="00EF468C">
        <w:rPr>
          <w:rStyle w:val="hps"/>
          <w:lang w:val="en-AU"/>
        </w:rPr>
        <w:t>threatening</w:t>
      </w:r>
      <w:r w:rsidR="00097F2A" w:rsidRPr="00EF468C">
        <w:rPr>
          <w:rStyle w:val="hps"/>
          <w:lang w:val="en-AU"/>
        </w:rPr>
        <w:t>,</w:t>
      </w:r>
      <w:r w:rsidRPr="00EF468C">
        <w:rPr>
          <w:lang w:val="en-AU"/>
        </w:rPr>
        <w:t xml:space="preserve"> </w:t>
      </w:r>
      <w:r w:rsidR="00097F2A" w:rsidRPr="00EF468C">
        <w:rPr>
          <w:lang w:val="en-AU"/>
        </w:rPr>
        <w:t>that are</w:t>
      </w:r>
      <w:r w:rsidRPr="00EF468C">
        <w:rPr>
          <w:lang w:val="en-AU"/>
        </w:rPr>
        <w:t xml:space="preserve"> intensified by high levels of AS (Watt, McWilliams &amp; Campbell (2005) may be the cause of a clinical rise of symptoms of worry. Furthermore, the pattern of seeing others as unavailable in the experience of distress may also lead to further alienation and withdrawal from peers and maintenance of worry and GAD symptoms. Previous research has also shown that individuals with insecure attachment, specifically those classified as preoccupied fearful, had significantly higher AS scores than securely attached individuals in both high school and college samples (Weems, Bergman, Silverman, &amp; Rodriguez, 2002). In further exploration </w:t>
      </w:r>
      <w:r w:rsidR="004D7595" w:rsidRPr="00EF468C">
        <w:rPr>
          <w:lang w:val="en-AU"/>
        </w:rPr>
        <w:t xml:space="preserve">of these findings, Watt et al. </w:t>
      </w:r>
      <w:r w:rsidRPr="00EF468C">
        <w:rPr>
          <w:lang w:val="en-AU"/>
        </w:rPr>
        <w:t>(2005) found that insecurely attached individuals reported significantly higher AS levels than those with secure and dismissing attachment styles. The authors of this research also reported a significant relation between AS and attachment styles, even after controlling for anxiety symptoms.</w:t>
      </w:r>
      <w:r w:rsidR="00B3521A" w:rsidRPr="00EF468C">
        <w:rPr>
          <w:lang w:val="en-AU"/>
        </w:rPr>
        <w:t xml:space="preserve"> </w:t>
      </w:r>
    </w:p>
    <w:p w:rsidR="0085755F" w:rsidRPr="00EF468C" w:rsidRDefault="0085755F" w:rsidP="00C37BC6">
      <w:pPr>
        <w:autoSpaceDE w:val="0"/>
        <w:autoSpaceDN w:val="0"/>
        <w:adjustRightInd w:val="0"/>
        <w:spacing w:line="480" w:lineRule="auto"/>
        <w:jc w:val="both"/>
        <w:outlineLvl w:val="0"/>
        <w:rPr>
          <w:lang w:val="en-AU"/>
        </w:rPr>
      </w:pPr>
      <w:r w:rsidRPr="00EF468C">
        <w:rPr>
          <w:rFonts w:cs="Arial"/>
          <w:color w:val="191919"/>
          <w:szCs w:val="32"/>
          <w:lang w:val="en-AU" w:eastAsia="en-US"/>
        </w:rPr>
        <w:t>All of these findings strongly suggest the need for further research of the relationship between interpersonal variables and psychopathology because of their potentially significant implications in improving the quality of life and treatment of people with anxiety problems. The following section describes the potential implications of the findings within this research.</w:t>
      </w:r>
    </w:p>
    <w:p w:rsidR="0085755F" w:rsidRPr="00EF468C" w:rsidRDefault="0085755F" w:rsidP="00C37BC6">
      <w:pPr>
        <w:autoSpaceDE w:val="0"/>
        <w:autoSpaceDN w:val="0"/>
        <w:adjustRightInd w:val="0"/>
        <w:spacing w:line="480" w:lineRule="auto"/>
        <w:jc w:val="both"/>
        <w:outlineLvl w:val="0"/>
        <w:rPr>
          <w:lang w:val="en-AU"/>
        </w:rPr>
      </w:pPr>
    </w:p>
    <w:p w:rsidR="009B126B" w:rsidRPr="00EF468C" w:rsidRDefault="004D290B" w:rsidP="00C37BC6">
      <w:pPr>
        <w:autoSpaceDE w:val="0"/>
        <w:autoSpaceDN w:val="0"/>
        <w:adjustRightInd w:val="0"/>
        <w:spacing w:line="480" w:lineRule="auto"/>
        <w:jc w:val="both"/>
        <w:outlineLvl w:val="0"/>
        <w:rPr>
          <w:b/>
          <w:i/>
          <w:color w:val="000000" w:themeColor="text1"/>
          <w:lang w:val="en-AU"/>
        </w:rPr>
      </w:pPr>
      <w:r w:rsidRPr="00EF468C">
        <w:rPr>
          <w:b/>
          <w:i/>
          <w:color w:val="000000" w:themeColor="text1"/>
          <w:lang w:val="en-AU"/>
        </w:rPr>
        <w:lastRenderedPageBreak/>
        <w:t>Implications for practice</w:t>
      </w:r>
    </w:p>
    <w:p w:rsidR="004D290B" w:rsidRPr="00EF468C" w:rsidRDefault="0085755F" w:rsidP="003B2B78">
      <w:pPr>
        <w:autoSpaceDE w:val="0"/>
        <w:autoSpaceDN w:val="0"/>
        <w:adjustRightInd w:val="0"/>
        <w:spacing w:line="480" w:lineRule="auto"/>
        <w:jc w:val="both"/>
        <w:rPr>
          <w:color w:val="000000" w:themeColor="text1"/>
          <w:lang w:val="en-AU"/>
        </w:rPr>
      </w:pPr>
      <w:r w:rsidRPr="00EF468C">
        <w:rPr>
          <w:rFonts w:cs="Arial"/>
          <w:color w:val="191919"/>
          <w:szCs w:val="32"/>
          <w:lang w:val="en-AU" w:eastAsia="en-US"/>
        </w:rPr>
        <w:t xml:space="preserve">Understanding the role of interpersonal variables such as alienation from peers in reinforcing the symptoms of anxiety sensitivity, excessive worry and GAD can contribute to the development of different therapeutic treatments and techniques. The findings of this study </w:t>
      </w:r>
      <w:r w:rsidR="00097F2A" w:rsidRPr="00EF468C">
        <w:rPr>
          <w:rFonts w:cs="Arial"/>
          <w:color w:val="191919"/>
          <w:szCs w:val="32"/>
          <w:lang w:val="en-AU" w:eastAsia="en-US"/>
        </w:rPr>
        <w:t xml:space="preserve">also </w:t>
      </w:r>
      <w:r w:rsidRPr="00EF468C">
        <w:rPr>
          <w:rFonts w:cs="Arial"/>
          <w:color w:val="191919"/>
          <w:szCs w:val="32"/>
          <w:lang w:val="en-AU" w:eastAsia="en-US"/>
        </w:rPr>
        <w:t xml:space="preserve">indicate the potential benefits of attachment style screening via different questionnaires in different phases of the treatment in order to </w:t>
      </w:r>
      <w:r w:rsidR="00097F2A" w:rsidRPr="00EF468C">
        <w:rPr>
          <w:rFonts w:cs="Arial"/>
          <w:color w:val="191919"/>
          <w:szCs w:val="32"/>
          <w:lang w:val="en-AU" w:eastAsia="en-US"/>
        </w:rPr>
        <w:t>adequately</w:t>
      </w:r>
      <w:r w:rsidRPr="00EF468C">
        <w:rPr>
          <w:rFonts w:cs="Arial"/>
          <w:color w:val="191919"/>
          <w:szCs w:val="32"/>
          <w:lang w:val="en-AU" w:eastAsia="en-US"/>
        </w:rPr>
        <w:t xml:space="preserve"> deal with possible social problems of the client. This knowledge could contribute to the development and improvement of various techniques aimed at social skills training in these individuals. </w:t>
      </w:r>
      <w:r w:rsidRPr="00EF468C">
        <w:rPr>
          <w:color w:val="000000" w:themeColor="text1"/>
          <w:lang w:val="en-AU"/>
        </w:rPr>
        <w:t xml:space="preserve">For a practicing clinician in CBT for example, these results may imply a need for a more elaborate work on changing dysfunctional believes regarding the availability and benefits of social support in individuals with GAD together with the work on reducing anxiety sensitivity symptoms. </w:t>
      </w:r>
      <w:r w:rsidRPr="00EF468C">
        <w:rPr>
          <w:rFonts w:cs="Arial"/>
          <w:color w:val="191919"/>
          <w:szCs w:val="32"/>
          <w:lang w:val="en-AU" w:eastAsia="en-US"/>
        </w:rPr>
        <w:t xml:space="preserve">Also, appropriate psychoeducation </w:t>
      </w:r>
      <w:r w:rsidRPr="00EF468C">
        <w:rPr>
          <w:color w:val="000000" w:themeColor="text1"/>
          <w:lang w:val="en-AU"/>
        </w:rPr>
        <w:t xml:space="preserve">that integrates the relation between these constructs </w:t>
      </w:r>
      <w:r w:rsidRPr="00EF468C">
        <w:rPr>
          <w:rFonts w:cs="Arial"/>
          <w:color w:val="191919"/>
          <w:szCs w:val="32"/>
          <w:lang w:val="en-AU" w:eastAsia="en-US"/>
        </w:rPr>
        <w:t xml:space="preserve">could contribute to greater success in treatment, improve the receptivity of the client and help overcome possible resistance to the treatment.  Understanding the client’s attachment style and </w:t>
      </w:r>
      <w:proofErr w:type="gramStart"/>
      <w:r w:rsidRPr="00EF468C">
        <w:rPr>
          <w:rFonts w:cs="Arial"/>
          <w:color w:val="191919"/>
          <w:szCs w:val="32"/>
          <w:lang w:val="en-AU" w:eastAsia="en-US"/>
        </w:rPr>
        <w:t>it’s</w:t>
      </w:r>
      <w:proofErr w:type="gramEnd"/>
      <w:r w:rsidRPr="00EF468C">
        <w:rPr>
          <w:rFonts w:cs="Arial"/>
          <w:color w:val="191919"/>
          <w:szCs w:val="32"/>
          <w:lang w:val="en-AU" w:eastAsia="en-US"/>
        </w:rPr>
        <w:t xml:space="preserve"> possible relation to his current problems can also help the therapist in creating a better therapeutic relationship with the client in order to achieve more success in the set treatment goals.</w:t>
      </w:r>
      <w:r w:rsidRPr="00EF468C">
        <w:rPr>
          <w:color w:val="000000" w:themeColor="text1"/>
          <w:lang w:val="en-AU"/>
        </w:rPr>
        <w:t xml:space="preserve"> </w:t>
      </w:r>
      <w:r w:rsidR="00CE2D44" w:rsidRPr="00EF468C">
        <w:rPr>
          <w:lang w:val="en-AU"/>
        </w:rPr>
        <w:t>A</w:t>
      </w:r>
      <w:r w:rsidR="003B2B78" w:rsidRPr="00EF468C">
        <w:rPr>
          <w:lang w:val="en-AU"/>
        </w:rPr>
        <w:t xml:space="preserve">s noted by </w:t>
      </w:r>
      <w:proofErr w:type="spellStart"/>
      <w:r w:rsidR="003B2B78" w:rsidRPr="00EF468C">
        <w:rPr>
          <w:lang w:val="en-AU"/>
        </w:rPr>
        <w:t>Viana</w:t>
      </w:r>
      <w:proofErr w:type="spellEnd"/>
      <w:r w:rsidR="003B2B78" w:rsidRPr="00EF468C">
        <w:rPr>
          <w:lang w:val="en-AU"/>
        </w:rPr>
        <w:t xml:space="preserve"> </w:t>
      </w:r>
      <w:r w:rsidR="00097F2A" w:rsidRPr="00EF468C">
        <w:rPr>
          <w:lang w:val="en-AU"/>
        </w:rPr>
        <w:t>and</w:t>
      </w:r>
      <w:r w:rsidR="003B2B78" w:rsidRPr="00EF468C">
        <w:rPr>
          <w:lang w:val="en-AU"/>
        </w:rPr>
        <w:t xml:space="preserve"> </w:t>
      </w:r>
      <w:proofErr w:type="spellStart"/>
      <w:r w:rsidR="003B2B78" w:rsidRPr="00EF468C">
        <w:rPr>
          <w:lang w:val="en-AU"/>
        </w:rPr>
        <w:t>Rabian</w:t>
      </w:r>
      <w:proofErr w:type="spellEnd"/>
      <w:r w:rsidR="003B2B78" w:rsidRPr="00EF468C">
        <w:rPr>
          <w:lang w:val="en-AU"/>
        </w:rPr>
        <w:t xml:space="preserve"> (2008), greater attention to the peer domain in investigations of AS is warranted, in order to gain better understanding of the role that peer alienation may have in the development of these fears. Moreover, these are only preliminary results and implications that should be examined by further research that would investigate the role of interpersonal factors in the development of AS. </w:t>
      </w:r>
    </w:p>
    <w:p w:rsidR="0085755F" w:rsidRPr="00EF468C" w:rsidRDefault="0085755F" w:rsidP="00C37BC6">
      <w:pPr>
        <w:autoSpaceDE w:val="0"/>
        <w:autoSpaceDN w:val="0"/>
        <w:adjustRightInd w:val="0"/>
        <w:spacing w:line="480" w:lineRule="auto"/>
        <w:jc w:val="both"/>
        <w:outlineLvl w:val="0"/>
        <w:rPr>
          <w:color w:val="000000" w:themeColor="text1"/>
          <w:lang w:val="en-AU"/>
        </w:rPr>
      </w:pPr>
    </w:p>
    <w:p w:rsidR="003B2B78" w:rsidRPr="00EF468C" w:rsidRDefault="004D290B" w:rsidP="00C37BC6">
      <w:pPr>
        <w:autoSpaceDE w:val="0"/>
        <w:autoSpaceDN w:val="0"/>
        <w:adjustRightInd w:val="0"/>
        <w:spacing w:line="480" w:lineRule="auto"/>
        <w:jc w:val="both"/>
        <w:outlineLvl w:val="0"/>
        <w:rPr>
          <w:b/>
          <w:i/>
          <w:lang w:val="en-AU"/>
        </w:rPr>
      </w:pPr>
      <w:r w:rsidRPr="00EF468C">
        <w:rPr>
          <w:b/>
          <w:i/>
          <w:lang w:val="en-AU"/>
        </w:rPr>
        <w:t>Limitations</w:t>
      </w:r>
    </w:p>
    <w:p w:rsidR="003B2B78" w:rsidRPr="00EF468C" w:rsidRDefault="003B2B78" w:rsidP="003B2B78">
      <w:pPr>
        <w:autoSpaceDE w:val="0"/>
        <w:autoSpaceDN w:val="0"/>
        <w:adjustRightInd w:val="0"/>
        <w:spacing w:line="480" w:lineRule="auto"/>
        <w:jc w:val="both"/>
        <w:rPr>
          <w:lang w:val="en-AU"/>
        </w:rPr>
      </w:pPr>
      <w:r w:rsidRPr="00EF468C">
        <w:rPr>
          <w:lang w:val="en-AU"/>
        </w:rPr>
        <w:t xml:space="preserve">This study has also several limitations. One of them refers to the cross-sectional nature of this investigation where any causal inferences that could be made about the pattern of relations </w:t>
      </w:r>
      <w:r w:rsidRPr="00EF468C">
        <w:rPr>
          <w:lang w:val="en-AU"/>
        </w:rPr>
        <w:lastRenderedPageBreak/>
        <w:t xml:space="preserve">found are precluded. A replication of these findings in a study with a larger sample size and a control group of non-clinical participants is needed to further elucidate the role of alienation and its relation to AS, worry and GAD. Also, further studies should include longitudinal designs and other measures of attachment and alienation, besides IPPA, that measures only the individual's perception of these constructs. </w:t>
      </w:r>
    </w:p>
    <w:p w:rsidR="003B2B78" w:rsidRPr="00EF468C" w:rsidRDefault="003B2B78" w:rsidP="003B2B78">
      <w:pPr>
        <w:autoSpaceDE w:val="0"/>
        <w:autoSpaceDN w:val="0"/>
        <w:adjustRightInd w:val="0"/>
        <w:spacing w:line="480" w:lineRule="auto"/>
        <w:jc w:val="both"/>
        <w:rPr>
          <w:lang w:val="en-AU"/>
        </w:rPr>
      </w:pPr>
      <w:r w:rsidRPr="00EF468C">
        <w:rPr>
          <w:lang w:val="en-AU"/>
        </w:rPr>
        <w:t xml:space="preserve">Finally, longitudinal studies are needed to examine the role of attachment to caregivers and its influence on peer attachment in adulthood and the development of the fear of anxiety related sensations. Such studies are also needed to investigate the role of attachment patterns in development of AS and processes that lead to exacerbation of pathological worry in individuals diagnosed with mental illness. </w:t>
      </w:r>
    </w:p>
    <w:p w:rsidR="003B2B78" w:rsidRPr="00EF468C" w:rsidRDefault="003B2B78" w:rsidP="003B2B78">
      <w:pPr>
        <w:rPr>
          <w:b/>
          <w:lang w:val="en-AU"/>
        </w:rPr>
      </w:pPr>
    </w:p>
    <w:p w:rsidR="00702515" w:rsidRPr="00EF468C" w:rsidRDefault="00CE2D44" w:rsidP="003B2B78">
      <w:pPr>
        <w:autoSpaceDE w:val="0"/>
        <w:autoSpaceDN w:val="0"/>
        <w:adjustRightInd w:val="0"/>
        <w:spacing w:line="480" w:lineRule="auto"/>
        <w:jc w:val="both"/>
        <w:rPr>
          <w:bCs/>
          <w:lang w:val="en-AU"/>
        </w:rPr>
      </w:pPr>
      <w:r w:rsidRPr="00EF468C">
        <w:rPr>
          <w:bCs/>
          <w:lang w:val="en-AU"/>
        </w:rPr>
        <w:t>In conclusion, AS</w:t>
      </w:r>
      <w:r w:rsidR="003B2B78" w:rsidRPr="00EF468C">
        <w:rPr>
          <w:bCs/>
          <w:lang w:val="en-AU"/>
        </w:rPr>
        <w:t xml:space="preserve"> mediated the relation between perceptions of alienation from peers and worry and GAD symptoms, but perceived parent alienation shared no significant relation to these variables. These results imply that perceptions of alienation appear to be a salient construct in relation to present levels of uncontrollable worry and GAD symptoms. However, they also seem to suggest a more salient role of perceived peer, rather than parent alienation in individuals with a diagnosis of mental illness. </w:t>
      </w:r>
    </w:p>
    <w:p w:rsidR="003B2B78" w:rsidRPr="00EF468C" w:rsidRDefault="003B2B78" w:rsidP="003B2B78">
      <w:pPr>
        <w:autoSpaceDE w:val="0"/>
        <w:autoSpaceDN w:val="0"/>
        <w:adjustRightInd w:val="0"/>
        <w:spacing w:line="480" w:lineRule="auto"/>
        <w:jc w:val="both"/>
        <w:rPr>
          <w:bCs/>
          <w:lang w:val="en-AU"/>
        </w:rPr>
      </w:pPr>
      <w:r w:rsidRPr="00EF468C">
        <w:rPr>
          <w:lang w:val="en-AU"/>
        </w:rPr>
        <w:t>Beyond the noted limitations, this study contributes to the growing knowledge regarding the origins of AS and its implied role in the development of pathological worry and GAD symptoms.</w:t>
      </w:r>
    </w:p>
    <w:p w:rsidR="00097F2A" w:rsidRPr="00EF468C" w:rsidRDefault="00097F2A">
      <w:pPr>
        <w:rPr>
          <w:b/>
          <w:lang w:val="en-AU"/>
        </w:rPr>
      </w:pPr>
      <w:r w:rsidRPr="00EF468C">
        <w:rPr>
          <w:b/>
          <w:lang w:val="en-AU"/>
        </w:rPr>
        <w:br w:type="page"/>
      </w:r>
    </w:p>
    <w:p w:rsidR="003B2B78" w:rsidRPr="00EF468C" w:rsidRDefault="003B2B78" w:rsidP="00C37BC6">
      <w:pPr>
        <w:outlineLvl w:val="0"/>
        <w:rPr>
          <w:b/>
          <w:lang w:val="en-AU"/>
        </w:rPr>
      </w:pPr>
      <w:r w:rsidRPr="00EF468C">
        <w:rPr>
          <w:b/>
          <w:lang w:val="en-AU"/>
        </w:rPr>
        <w:lastRenderedPageBreak/>
        <w:t>REFERENCES</w:t>
      </w:r>
    </w:p>
    <w:p w:rsidR="003A41C8" w:rsidRPr="00EF468C" w:rsidRDefault="003A41C8" w:rsidP="003A41C8">
      <w:pPr>
        <w:outlineLvl w:val="0"/>
        <w:rPr>
          <w:b/>
          <w:lang w:val="en-AU"/>
        </w:rPr>
      </w:pPr>
    </w:p>
    <w:p w:rsidR="003B2B78" w:rsidRPr="00EF468C" w:rsidRDefault="003B2B78" w:rsidP="003B2B78">
      <w:pPr>
        <w:rPr>
          <w:lang w:val="en-AU"/>
        </w:rPr>
      </w:pPr>
      <w:proofErr w:type="gramStart"/>
      <w:r w:rsidRPr="00EF468C">
        <w:rPr>
          <w:lang w:val="en-AU"/>
        </w:rPr>
        <w:t>American Psychiatric Association.</w:t>
      </w:r>
      <w:proofErr w:type="gramEnd"/>
      <w:r w:rsidRPr="00EF468C">
        <w:rPr>
          <w:lang w:val="en-AU"/>
        </w:rPr>
        <w:t xml:space="preserve"> </w:t>
      </w:r>
      <w:proofErr w:type="gramStart"/>
      <w:r w:rsidRPr="00EF468C">
        <w:rPr>
          <w:lang w:val="en-AU"/>
        </w:rPr>
        <w:t xml:space="preserve">(2000). </w:t>
      </w:r>
      <w:r w:rsidRPr="00EF468C">
        <w:rPr>
          <w:i/>
          <w:lang w:val="en-AU"/>
        </w:rPr>
        <w:t xml:space="preserve">Diagnostic and statistical manual of mental disorders </w:t>
      </w:r>
      <w:r w:rsidRPr="00EF468C">
        <w:rPr>
          <w:lang w:val="en-AU"/>
        </w:rPr>
        <w:t>(4th ed., Text Revision).</w:t>
      </w:r>
      <w:proofErr w:type="gramEnd"/>
      <w:r w:rsidRPr="00EF468C">
        <w:rPr>
          <w:lang w:val="en-AU"/>
        </w:rPr>
        <w:t xml:space="preserve"> Washington, DC: Author.</w:t>
      </w:r>
    </w:p>
    <w:p w:rsidR="003B2B78" w:rsidRPr="00EF468C" w:rsidRDefault="003B2B78" w:rsidP="003B2B78">
      <w:pPr>
        <w:autoSpaceDE w:val="0"/>
        <w:autoSpaceDN w:val="0"/>
        <w:adjustRightInd w:val="0"/>
        <w:rPr>
          <w:lang w:val="en-AU"/>
        </w:rPr>
      </w:pPr>
    </w:p>
    <w:p w:rsidR="003B2B78" w:rsidRPr="00EF468C" w:rsidRDefault="003B2B78" w:rsidP="003B2B78">
      <w:pPr>
        <w:autoSpaceDE w:val="0"/>
        <w:autoSpaceDN w:val="0"/>
        <w:adjustRightInd w:val="0"/>
        <w:rPr>
          <w:lang w:val="en-AU"/>
        </w:rPr>
      </w:pPr>
      <w:proofErr w:type="spellStart"/>
      <w:proofErr w:type="gramStart"/>
      <w:r w:rsidRPr="00EF468C">
        <w:rPr>
          <w:lang w:val="en-AU"/>
        </w:rPr>
        <w:t>Armsden</w:t>
      </w:r>
      <w:proofErr w:type="spellEnd"/>
      <w:r w:rsidRPr="00EF468C">
        <w:rPr>
          <w:lang w:val="en-AU"/>
        </w:rPr>
        <w:t>, G. C., &amp; Greenberg, M. T. (1987).</w:t>
      </w:r>
      <w:proofErr w:type="gramEnd"/>
      <w:r w:rsidRPr="00EF468C">
        <w:rPr>
          <w:lang w:val="en-AU"/>
        </w:rPr>
        <w:t xml:space="preserve"> The Inventory of Parent and Peer Attachment: Individual differences and their relationship to psychological </w:t>
      </w:r>
      <w:proofErr w:type="spellStart"/>
      <w:r w:rsidR="00853217" w:rsidRPr="00EF468C">
        <w:rPr>
          <w:lang w:val="en-AU"/>
        </w:rPr>
        <w:t>well being</w:t>
      </w:r>
      <w:proofErr w:type="spellEnd"/>
      <w:r w:rsidRPr="00EF468C">
        <w:rPr>
          <w:lang w:val="en-AU"/>
        </w:rPr>
        <w:t xml:space="preserve"> in adolescence. </w:t>
      </w:r>
      <w:r w:rsidRPr="00EF468C">
        <w:rPr>
          <w:i/>
          <w:lang w:val="en-AU"/>
        </w:rPr>
        <w:t>Journal of Youth and Adolescence, 16,</w:t>
      </w:r>
      <w:r w:rsidRPr="00EF468C">
        <w:rPr>
          <w:lang w:val="en-AU"/>
        </w:rPr>
        <w:t xml:space="preserve"> 427–454.</w:t>
      </w:r>
      <w:r w:rsidR="00ED2AC4" w:rsidRPr="00EF468C">
        <w:rPr>
          <w:lang w:val="en-AU"/>
        </w:rPr>
        <w:t xml:space="preserve"> </w:t>
      </w:r>
      <w:proofErr w:type="spellStart"/>
      <w:proofErr w:type="gramStart"/>
      <w:r w:rsidR="00ED2AC4" w:rsidRPr="00EF468C">
        <w:rPr>
          <w:lang w:val="en-AU"/>
        </w:rPr>
        <w:t>doi</w:t>
      </w:r>
      <w:proofErr w:type="spellEnd"/>
      <w:proofErr w:type="gramEnd"/>
      <w:r w:rsidR="00ED2AC4" w:rsidRPr="00EF468C">
        <w:rPr>
          <w:lang w:val="en-AU"/>
        </w:rPr>
        <w:t>: 10.1007/BF02202939</w:t>
      </w:r>
    </w:p>
    <w:p w:rsidR="003B2B78" w:rsidRPr="00EF468C" w:rsidRDefault="003B2B78" w:rsidP="003A41C8">
      <w:pPr>
        <w:rPr>
          <w:lang w:val="en-AU"/>
        </w:rPr>
      </w:pPr>
    </w:p>
    <w:p w:rsidR="003A41C8" w:rsidRPr="00EF468C" w:rsidRDefault="003A41C8" w:rsidP="003A41C8">
      <w:pPr>
        <w:rPr>
          <w:lang w:val="en-AU"/>
        </w:rPr>
      </w:pPr>
      <w:r w:rsidRPr="00EF468C">
        <w:rPr>
          <w:lang w:val="en-AU"/>
        </w:rPr>
        <w:t xml:space="preserve">Baron, R.M., Kenny, D.A. (1986) </w:t>
      </w:r>
      <w:proofErr w:type="gramStart"/>
      <w:r w:rsidRPr="00EF468C">
        <w:rPr>
          <w:lang w:val="en-AU"/>
        </w:rPr>
        <w:t>The</w:t>
      </w:r>
      <w:proofErr w:type="gramEnd"/>
      <w:r w:rsidRPr="00EF468C">
        <w:rPr>
          <w:lang w:val="en-AU"/>
        </w:rPr>
        <w:t xml:space="preserve"> moderator-mediator variable distinction in social psychological research: Conceptual, strategic, and statistical considerations. </w:t>
      </w:r>
      <w:r w:rsidRPr="00EF468C">
        <w:rPr>
          <w:i/>
          <w:lang w:val="en-AU"/>
        </w:rPr>
        <w:t>Journal of Personality and Social Psychology, 51</w:t>
      </w:r>
      <w:r w:rsidRPr="00EF468C">
        <w:rPr>
          <w:lang w:val="en-AU"/>
        </w:rPr>
        <w:t xml:space="preserve">, 1173–1182. </w:t>
      </w:r>
      <w:proofErr w:type="spellStart"/>
      <w:proofErr w:type="gramStart"/>
      <w:r w:rsidRPr="00EF468C">
        <w:rPr>
          <w:lang w:val="en-AU"/>
        </w:rPr>
        <w:t>doi</w:t>
      </w:r>
      <w:proofErr w:type="spellEnd"/>
      <w:proofErr w:type="gramEnd"/>
      <w:r w:rsidRPr="00EF468C">
        <w:rPr>
          <w:lang w:val="en-AU"/>
        </w:rPr>
        <w:t>: 10.1037//0022-3514.51.6.1173</w:t>
      </w:r>
    </w:p>
    <w:p w:rsidR="003A41C8" w:rsidRPr="00EF468C" w:rsidRDefault="003A41C8" w:rsidP="003A41C8">
      <w:pPr>
        <w:rPr>
          <w:lang w:val="en-AU"/>
        </w:rPr>
      </w:pPr>
    </w:p>
    <w:p w:rsidR="003A41C8" w:rsidRPr="00EF468C" w:rsidRDefault="003A41C8" w:rsidP="003A41C8">
      <w:pPr>
        <w:rPr>
          <w:lang w:val="en-AU"/>
        </w:rPr>
      </w:pPr>
      <w:proofErr w:type="spellStart"/>
      <w:proofErr w:type="gramStart"/>
      <w:r w:rsidRPr="00EF468C">
        <w:rPr>
          <w:lang w:val="en-AU"/>
        </w:rPr>
        <w:t>Bifulco</w:t>
      </w:r>
      <w:proofErr w:type="spellEnd"/>
      <w:r w:rsidRPr="00EF468C">
        <w:rPr>
          <w:lang w:val="en-AU"/>
        </w:rPr>
        <w:t>, A., Kwon, J., Jacobs, C., Moran, P.M., Bunn, A., Beer, N. (2006) Adult attachment style as mediator between childhood neglect/abuse and adult depression and anxiety.</w:t>
      </w:r>
      <w:proofErr w:type="gramEnd"/>
      <w:r w:rsidRPr="00EF468C">
        <w:rPr>
          <w:lang w:val="en-AU"/>
        </w:rPr>
        <w:t xml:space="preserve"> </w:t>
      </w:r>
      <w:r w:rsidRPr="00EF468C">
        <w:rPr>
          <w:i/>
          <w:lang w:val="en-AU"/>
        </w:rPr>
        <w:t>Social Psychiatry and Psychiatric Epidemiology, 41,</w:t>
      </w:r>
      <w:r w:rsidRPr="00EF468C">
        <w:rPr>
          <w:lang w:val="en-AU"/>
        </w:rPr>
        <w:t xml:space="preserve"> 796–805. </w:t>
      </w:r>
      <w:proofErr w:type="spellStart"/>
      <w:proofErr w:type="gramStart"/>
      <w:r w:rsidRPr="00EF468C">
        <w:rPr>
          <w:lang w:val="en-AU"/>
        </w:rPr>
        <w:t>doi</w:t>
      </w:r>
      <w:proofErr w:type="spellEnd"/>
      <w:proofErr w:type="gramEnd"/>
      <w:r w:rsidRPr="00EF468C">
        <w:rPr>
          <w:lang w:val="en-AU"/>
        </w:rPr>
        <w:t>: 10.1007/s00127-006-0101-z</w:t>
      </w:r>
    </w:p>
    <w:p w:rsidR="003A41C8" w:rsidRPr="00EF468C" w:rsidRDefault="003A41C8">
      <w:pPr>
        <w:rPr>
          <w:b/>
          <w:lang w:val="en-AU"/>
        </w:rPr>
      </w:pPr>
    </w:p>
    <w:p w:rsidR="004A5858" w:rsidRPr="00EF468C" w:rsidRDefault="003A41C8" w:rsidP="003A41C8">
      <w:pPr>
        <w:autoSpaceDE w:val="0"/>
        <w:autoSpaceDN w:val="0"/>
        <w:adjustRightInd w:val="0"/>
        <w:rPr>
          <w:lang w:val="en-AU"/>
        </w:rPr>
      </w:pPr>
      <w:proofErr w:type="spellStart"/>
      <w:proofErr w:type="gramStart"/>
      <w:r w:rsidRPr="00EF468C">
        <w:rPr>
          <w:lang w:val="en-AU"/>
        </w:rPr>
        <w:t>Borkovec</w:t>
      </w:r>
      <w:proofErr w:type="spellEnd"/>
      <w:r w:rsidRPr="00EF468C">
        <w:rPr>
          <w:lang w:val="en-AU"/>
        </w:rPr>
        <w:t xml:space="preserve">, T.D., Robinson, E., </w:t>
      </w:r>
      <w:proofErr w:type="spellStart"/>
      <w:r w:rsidRPr="00EF468C">
        <w:rPr>
          <w:lang w:val="en-AU"/>
        </w:rPr>
        <w:t>Pruzinsky</w:t>
      </w:r>
      <w:proofErr w:type="spellEnd"/>
      <w:r w:rsidRPr="00EF468C">
        <w:rPr>
          <w:lang w:val="en-AU"/>
        </w:rPr>
        <w:t xml:space="preserve">, T., </w:t>
      </w:r>
      <w:proofErr w:type="spellStart"/>
      <w:r w:rsidRPr="00EF468C">
        <w:rPr>
          <w:lang w:val="en-AU"/>
        </w:rPr>
        <w:t>DePree</w:t>
      </w:r>
      <w:proofErr w:type="spellEnd"/>
      <w:r w:rsidRPr="00EF468C">
        <w:rPr>
          <w:lang w:val="en-AU"/>
        </w:rPr>
        <w:t>, J.A. (1983) Preliminary exploration of worry: Some characteristics and processes.</w:t>
      </w:r>
      <w:proofErr w:type="gramEnd"/>
      <w:r w:rsidRPr="00EF468C">
        <w:rPr>
          <w:lang w:val="en-AU"/>
        </w:rPr>
        <w:t xml:space="preserve"> </w:t>
      </w:r>
      <w:r w:rsidRPr="00EF468C">
        <w:rPr>
          <w:i/>
          <w:lang w:val="en-AU"/>
        </w:rPr>
        <w:t xml:space="preserve">Behaviour Research and </w:t>
      </w:r>
      <w:proofErr w:type="spellStart"/>
      <w:r w:rsidRPr="00EF468C">
        <w:rPr>
          <w:i/>
          <w:lang w:val="en-AU"/>
        </w:rPr>
        <w:t>Theray</w:t>
      </w:r>
      <w:proofErr w:type="spellEnd"/>
      <w:r w:rsidRPr="00EF468C">
        <w:rPr>
          <w:i/>
          <w:lang w:val="en-AU"/>
        </w:rPr>
        <w:t>, 21</w:t>
      </w:r>
      <w:r w:rsidRPr="00EF468C">
        <w:rPr>
          <w:lang w:val="en-AU"/>
        </w:rPr>
        <w:t xml:space="preserve">, 16–19. </w:t>
      </w:r>
      <w:proofErr w:type="spellStart"/>
      <w:proofErr w:type="gramStart"/>
      <w:r w:rsidRPr="00EF468C">
        <w:rPr>
          <w:lang w:val="en-AU"/>
        </w:rPr>
        <w:t>doi</w:t>
      </w:r>
      <w:proofErr w:type="spellEnd"/>
      <w:proofErr w:type="gramEnd"/>
      <w:r w:rsidRPr="00EF468C">
        <w:rPr>
          <w:lang w:val="en-AU"/>
        </w:rPr>
        <w:t>: 10.1016/0005-7967(83)90121-3</w:t>
      </w:r>
    </w:p>
    <w:p w:rsidR="004A5858" w:rsidRPr="00EF468C" w:rsidRDefault="004A5858" w:rsidP="003A41C8">
      <w:pPr>
        <w:autoSpaceDE w:val="0"/>
        <w:autoSpaceDN w:val="0"/>
        <w:adjustRightInd w:val="0"/>
        <w:rPr>
          <w:lang w:val="en-AU"/>
        </w:rPr>
      </w:pPr>
    </w:p>
    <w:p w:rsidR="003A41C8" w:rsidRPr="00EF468C" w:rsidRDefault="004A5858" w:rsidP="004A5858">
      <w:pPr>
        <w:rPr>
          <w:sz w:val="20"/>
          <w:szCs w:val="20"/>
          <w:lang w:val="en-AU" w:eastAsia="en-US"/>
        </w:rPr>
      </w:pPr>
      <w:proofErr w:type="spellStart"/>
      <w:proofErr w:type="gramStart"/>
      <w:r w:rsidRPr="00EF468C">
        <w:rPr>
          <w:color w:val="000000"/>
          <w:shd w:val="clear" w:color="auto" w:fill="FFFFFF"/>
          <w:lang w:val="en-AU" w:eastAsia="en-US"/>
        </w:rPr>
        <w:t>Bosmans</w:t>
      </w:r>
      <w:proofErr w:type="spellEnd"/>
      <w:r w:rsidRPr="00EF468C">
        <w:rPr>
          <w:color w:val="000000"/>
          <w:shd w:val="clear" w:color="auto" w:fill="FFFFFF"/>
          <w:lang w:val="en-AU" w:eastAsia="en-US"/>
        </w:rPr>
        <w:t xml:space="preserve">, G., </w:t>
      </w:r>
      <w:proofErr w:type="spellStart"/>
      <w:r w:rsidRPr="00EF468C">
        <w:rPr>
          <w:color w:val="000000"/>
          <w:shd w:val="clear" w:color="auto" w:fill="FFFFFF"/>
          <w:lang w:val="en-AU" w:eastAsia="en-US"/>
        </w:rPr>
        <w:t>Braet</w:t>
      </w:r>
      <w:proofErr w:type="spellEnd"/>
      <w:r w:rsidRPr="00EF468C">
        <w:rPr>
          <w:color w:val="000000"/>
          <w:shd w:val="clear" w:color="auto" w:fill="FFFFFF"/>
          <w:lang w:val="en-AU" w:eastAsia="en-US"/>
        </w:rPr>
        <w:t xml:space="preserve">, C. and Van </w:t>
      </w:r>
      <w:proofErr w:type="spellStart"/>
      <w:r w:rsidRPr="00EF468C">
        <w:rPr>
          <w:color w:val="000000"/>
          <w:shd w:val="clear" w:color="auto" w:fill="FFFFFF"/>
          <w:lang w:val="en-AU" w:eastAsia="en-US"/>
        </w:rPr>
        <w:t>Vlierberghe</w:t>
      </w:r>
      <w:proofErr w:type="spellEnd"/>
      <w:r w:rsidRPr="00EF468C">
        <w:rPr>
          <w:color w:val="000000"/>
          <w:shd w:val="clear" w:color="auto" w:fill="FFFFFF"/>
          <w:lang w:val="en-AU" w:eastAsia="en-US"/>
        </w:rPr>
        <w:t>, L. (2010).</w:t>
      </w:r>
      <w:proofErr w:type="gramEnd"/>
      <w:r w:rsidRPr="00EF468C">
        <w:rPr>
          <w:color w:val="000000"/>
          <w:shd w:val="clear" w:color="auto" w:fill="FFFFFF"/>
          <w:lang w:val="en-AU" w:eastAsia="en-US"/>
        </w:rPr>
        <w:t xml:space="preserve"> Attachment and symptoms of psychopathology: early maladaptive schemas as a cognitive link</w:t>
      </w:r>
      <w:proofErr w:type="gramStart"/>
      <w:r w:rsidRPr="00EF468C">
        <w:rPr>
          <w:color w:val="000000"/>
          <w:shd w:val="clear" w:color="auto" w:fill="FFFFFF"/>
          <w:lang w:val="en-AU" w:eastAsia="en-US"/>
        </w:rPr>
        <w:t>?.</w:t>
      </w:r>
      <w:proofErr w:type="gramEnd"/>
      <w:r w:rsidRPr="00EF468C">
        <w:rPr>
          <w:color w:val="000000"/>
          <w:shd w:val="clear" w:color="auto" w:fill="FFFFFF"/>
          <w:lang w:val="en-AU" w:eastAsia="en-US"/>
        </w:rPr>
        <w:t xml:space="preserve"> </w:t>
      </w:r>
      <w:r w:rsidRPr="00EF468C">
        <w:rPr>
          <w:i/>
          <w:color w:val="000000"/>
          <w:shd w:val="clear" w:color="auto" w:fill="FFFFFF"/>
          <w:lang w:val="en-AU" w:eastAsia="en-US"/>
        </w:rPr>
        <w:t>Clinical Psychology and Psychotherapy, 17</w:t>
      </w:r>
      <w:proofErr w:type="gramStart"/>
      <w:r w:rsidRPr="00EF468C">
        <w:rPr>
          <w:color w:val="000000"/>
          <w:shd w:val="clear" w:color="auto" w:fill="FFFFFF"/>
          <w:lang w:val="en-AU" w:eastAsia="en-US"/>
        </w:rPr>
        <w:t>,  374</w:t>
      </w:r>
      <w:proofErr w:type="gramEnd"/>
      <w:r w:rsidRPr="00EF468C">
        <w:rPr>
          <w:color w:val="000000"/>
          <w:shd w:val="clear" w:color="auto" w:fill="FFFFFF"/>
          <w:lang w:val="en-AU" w:eastAsia="en-US"/>
        </w:rPr>
        <w:t xml:space="preserve">–385. </w:t>
      </w:r>
      <w:proofErr w:type="spellStart"/>
      <w:proofErr w:type="gramStart"/>
      <w:r w:rsidRPr="00EF468C">
        <w:rPr>
          <w:color w:val="000000"/>
          <w:shd w:val="clear" w:color="auto" w:fill="FFFFFF"/>
          <w:lang w:val="en-AU" w:eastAsia="en-US"/>
        </w:rPr>
        <w:t>doi</w:t>
      </w:r>
      <w:proofErr w:type="spellEnd"/>
      <w:proofErr w:type="gramEnd"/>
      <w:r w:rsidRPr="00EF468C">
        <w:rPr>
          <w:color w:val="000000"/>
          <w:shd w:val="clear" w:color="auto" w:fill="FFFFFF"/>
          <w:lang w:val="en-AU" w:eastAsia="en-US"/>
        </w:rPr>
        <w:t>: 10.1002/cpp.667</w:t>
      </w:r>
    </w:p>
    <w:p w:rsidR="003A41C8" w:rsidRPr="00EF468C" w:rsidRDefault="003A41C8">
      <w:pPr>
        <w:rPr>
          <w:b/>
          <w:lang w:val="en-AU"/>
        </w:rPr>
      </w:pPr>
    </w:p>
    <w:p w:rsidR="00ED2AC4" w:rsidRPr="00EF468C" w:rsidRDefault="003A41C8" w:rsidP="00ED2AC4">
      <w:pPr>
        <w:rPr>
          <w:szCs w:val="28"/>
          <w:lang w:val="en-AU" w:eastAsia="en-US"/>
        </w:rPr>
      </w:pPr>
      <w:proofErr w:type="gramStart"/>
      <w:r w:rsidRPr="00EF468C">
        <w:rPr>
          <w:lang w:val="en-AU"/>
        </w:rPr>
        <w:t>Bretherton, I., Ridgeway, D., &amp; Cassidy, J. (1990).</w:t>
      </w:r>
      <w:proofErr w:type="gramEnd"/>
      <w:r w:rsidRPr="00EF468C">
        <w:rPr>
          <w:lang w:val="en-AU"/>
        </w:rPr>
        <w:t xml:space="preserve"> </w:t>
      </w:r>
      <w:proofErr w:type="gramStart"/>
      <w:r w:rsidRPr="00EF468C">
        <w:rPr>
          <w:lang w:val="en-AU"/>
        </w:rPr>
        <w:t>Assessing internal working models of the attachment relationship: An attachment story c</w:t>
      </w:r>
      <w:r w:rsidR="007A1269" w:rsidRPr="00EF468C">
        <w:rPr>
          <w:lang w:val="en-AU"/>
        </w:rPr>
        <w:t>ompletion task for 3-year-olds.</w:t>
      </w:r>
      <w:proofErr w:type="gramEnd"/>
      <w:r w:rsidR="00ED2AC4" w:rsidRPr="00EF468C">
        <w:rPr>
          <w:lang w:val="en-AU"/>
        </w:rPr>
        <w:t xml:space="preserve"> </w:t>
      </w:r>
      <w:r w:rsidR="00ED2AC4" w:rsidRPr="00EF468C">
        <w:rPr>
          <w:szCs w:val="28"/>
          <w:lang w:val="en-AU" w:eastAsia="en-US"/>
        </w:rPr>
        <w:t xml:space="preserve">In Greenberg, </w:t>
      </w:r>
      <w:r w:rsidR="004E4D0E" w:rsidRPr="00EF468C">
        <w:rPr>
          <w:szCs w:val="28"/>
          <w:lang w:val="en-AU" w:eastAsia="en-US"/>
        </w:rPr>
        <w:t xml:space="preserve">M.T. </w:t>
      </w:r>
      <w:proofErr w:type="spellStart"/>
      <w:r w:rsidR="00ED2AC4" w:rsidRPr="00EF468C">
        <w:rPr>
          <w:szCs w:val="28"/>
          <w:lang w:val="en-AU" w:eastAsia="en-US"/>
        </w:rPr>
        <w:t>Cicchetti</w:t>
      </w:r>
      <w:proofErr w:type="spellEnd"/>
      <w:r w:rsidR="004E4D0E" w:rsidRPr="00EF468C">
        <w:rPr>
          <w:szCs w:val="28"/>
          <w:lang w:val="en-AU" w:eastAsia="en-US"/>
        </w:rPr>
        <w:t>,</w:t>
      </w:r>
      <w:r w:rsidR="00ED2AC4" w:rsidRPr="00EF468C">
        <w:rPr>
          <w:szCs w:val="28"/>
          <w:lang w:val="en-AU" w:eastAsia="en-US"/>
        </w:rPr>
        <w:t xml:space="preserve"> </w:t>
      </w:r>
      <w:r w:rsidR="004E4D0E" w:rsidRPr="00EF468C">
        <w:rPr>
          <w:szCs w:val="28"/>
          <w:lang w:val="en-AU" w:eastAsia="en-US"/>
        </w:rPr>
        <w:t xml:space="preserve">D., </w:t>
      </w:r>
      <w:r w:rsidR="00ED2AC4" w:rsidRPr="00EF468C">
        <w:rPr>
          <w:szCs w:val="28"/>
          <w:lang w:val="en-AU" w:eastAsia="en-US"/>
        </w:rPr>
        <w:t>&amp; Cummings</w:t>
      </w:r>
      <w:r w:rsidR="004E4D0E" w:rsidRPr="00EF468C">
        <w:rPr>
          <w:szCs w:val="28"/>
          <w:lang w:val="en-AU" w:eastAsia="en-US"/>
        </w:rPr>
        <w:t xml:space="preserve">, E.M. </w:t>
      </w:r>
      <w:r w:rsidR="00ED2AC4" w:rsidRPr="00EF468C">
        <w:rPr>
          <w:szCs w:val="28"/>
          <w:lang w:val="en-AU" w:eastAsia="en-US"/>
        </w:rPr>
        <w:t xml:space="preserve">(Eds.), </w:t>
      </w:r>
      <w:r w:rsidR="00ED2AC4" w:rsidRPr="00EF468C">
        <w:rPr>
          <w:i/>
          <w:szCs w:val="28"/>
          <w:lang w:val="en-AU" w:eastAsia="en-US"/>
        </w:rPr>
        <w:t>Attachment in the preschool years: Theory, research, and intervention</w:t>
      </w:r>
      <w:r w:rsidR="00ED2AC4" w:rsidRPr="00EF468C">
        <w:rPr>
          <w:szCs w:val="28"/>
          <w:lang w:val="en-AU" w:eastAsia="en-US"/>
        </w:rPr>
        <w:t xml:space="preserve"> (pp. 273–308). Chicago, IL: University of Chicago Press.</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r w:rsidRPr="00EF468C">
        <w:rPr>
          <w:lang w:val="en-AU"/>
        </w:rPr>
        <w:t xml:space="preserve">Cassidy, J. Lichtenstein-Phelps, J., </w:t>
      </w:r>
      <w:proofErr w:type="spellStart"/>
      <w:r w:rsidRPr="00EF468C">
        <w:rPr>
          <w:lang w:val="en-AU"/>
        </w:rPr>
        <w:t>Sibrava</w:t>
      </w:r>
      <w:proofErr w:type="spellEnd"/>
      <w:r w:rsidRPr="00EF468C">
        <w:rPr>
          <w:lang w:val="en-AU"/>
        </w:rPr>
        <w:t xml:space="preserve">, N. J., Thomas, C. L. Jr., &amp; </w:t>
      </w:r>
      <w:proofErr w:type="spellStart"/>
      <w:r w:rsidRPr="00EF468C">
        <w:rPr>
          <w:lang w:val="en-AU"/>
        </w:rPr>
        <w:t>Borkovec</w:t>
      </w:r>
      <w:proofErr w:type="spellEnd"/>
      <w:r w:rsidRPr="00EF468C">
        <w:rPr>
          <w:lang w:val="en-AU"/>
        </w:rPr>
        <w:t>, T. D.</w:t>
      </w:r>
    </w:p>
    <w:p w:rsidR="003A41C8" w:rsidRPr="00EF468C" w:rsidRDefault="003A41C8" w:rsidP="003A41C8">
      <w:pPr>
        <w:autoSpaceDE w:val="0"/>
        <w:autoSpaceDN w:val="0"/>
        <w:adjustRightInd w:val="0"/>
        <w:rPr>
          <w:lang w:val="en-AU"/>
        </w:rPr>
      </w:pPr>
      <w:r w:rsidRPr="00EF468C">
        <w:rPr>
          <w:lang w:val="en-AU"/>
        </w:rPr>
        <w:t xml:space="preserve">(2009). </w:t>
      </w:r>
      <w:proofErr w:type="gramStart"/>
      <w:r w:rsidRPr="00EF468C">
        <w:rPr>
          <w:lang w:val="en-AU"/>
        </w:rPr>
        <w:t>Generalized</w:t>
      </w:r>
      <w:proofErr w:type="gramEnd"/>
      <w:r w:rsidRPr="00EF468C">
        <w:rPr>
          <w:lang w:val="en-AU"/>
        </w:rPr>
        <w:t xml:space="preserve"> anxiety disorder: Connections with self-reported attachment.</w:t>
      </w:r>
    </w:p>
    <w:p w:rsidR="003A41C8" w:rsidRPr="00EF468C" w:rsidRDefault="003A41C8" w:rsidP="003A41C8">
      <w:pPr>
        <w:autoSpaceDE w:val="0"/>
        <w:autoSpaceDN w:val="0"/>
        <w:adjustRightInd w:val="0"/>
        <w:rPr>
          <w:iCs/>
          <w:lang w:val="en-AU"/>
        </w:rPr>
      </w:pPr>
      <w:proofErr w:type="spellStart"/>
      <w:r w:rsidRPr="00EF468C">
        <w:rPr>
          <w:i/>
          <w:iCs/>
          <w:lang w:val="en-AU"/>
        </w:rPr>
        <w:t>Behavior</w:t>
      </w:r>
      <w:proofErr w:type="spellEnd"/>
      <w:r w:rsidRPr="00EF468C">
        <w:rPr>
          <w:i/>
          <w:iCs/>
          <w:lang w:val="en-AU"/>
        </w:rPr>
        <w:t xml:space="preserve"> Therapy, 40, 23-38. </w:t>
      </w:r>
      <w:proofErr w:type="spellStart"/>
      <w:proofErr w:type="gramStart"/>
      <w:r w:rsidRPr="00EF468C">
        <w:rPr>
          <w:iCs/>
          <w:lang w:val="en-AU"/>
        </w:rPr>
        <w:t>doi</w:t>
      </w:r>
      <w:proofErr w:type="spellEnd"/>
      <w:proofErr w:type="gramEnd"/>
      <w:r w:rsidRPr="00EF468C">
        <w:rPr>
          <w:iCs/>
          <w:lang w:val="en-AU"/>
        </w:rPr>
        <w:t xml:space="preserve">: </w:t>
      </w:r>
      <w:r w:rsidRPr="00EF468C">
        <w:rPr>
          <w:lang w:val="en-AU"/>
        </w:rPr>
        <w:t>10.1016/j.beth.2007.12.004</w:t>
      </w:r>
    </w:p>
    <w:p w:rsidR="003A41C8" w:rsidRPr="00EF468C" w:rsidRDefault="003A41C8" w:rsidP="003A41C8">
      <w:pPr>
        <w:rPr>
          <w:lang w:val="en-AU"/>
        </w:rPr>
      </w:pPr>
    </w:p>
    <w:p w:rsidR="003A41C8" w:rsidRPr="00EF468C" w:rsidRDefault="003A41C8" w:rsidP="003A41C8">
      <w:pPr>
        <w:rPr>
          <w:lang w:val="en-AU"/>
        </w:rPr>
      </w:pPr>
      <w:proofErr w:type="gramStart"/>
      <w:r w:rsidRPr="00EF468C">
        <w:rPr>
          <w:lang w:val="en-AU"/>
        </w:rPr>
        <w:t xml:space="preserve">Cohen, S., &amp; </w:t>
      </w:r>
      <w:proofErr w:type="spellStart"/>
      <w:r w:rsidRPr="00EF468C">
        <w:rPr>
          <w:lang w:val="en-AU"/>
        </w:rPr>
        <w:t>Hoberman</w:t>
      </w:r>
      <w:proofErr w:type="spellEnd"/>
      <w:r w:rsidRPr="00EF468C">
        <w:rPr>
          <w:lang w:val="en-AU"/>
        </w:rPr>
        <w:t>, H. M (1983).</w:t>
      </w:r>
      <w:proofErr w:type="gramEnd"/>
      <w:r w:rsidRPr="00EF468C">
        <w:rPr>
          <w:lang w:val="en-AU"/>
        </w:rPr>
        <w:t xml:space="preserve"> Positive events and social support as buffers of life change stress. </w:t>
      </w:r>
      <w:r w:rsidRPr="00EF468C">
        <w:rPr>
          <w:i/>
          <w:lang w:val="en-AU"/>
        </w:rPr>
        <w:t>Journal of Applied Social Psychology, 13,</w:t>
      </w:r>
      <w:r w:rsidRPr="00EF468C">
        <w:rPr>
          <w:lang w:val="en-AU"/>
        </w:rPr>
        <w:t xml:space="preserve"> 99-125. </w:t>
      </w:r>
      <w:proofErr w:type="spellStart"/>
      <w:proofErr w:type="gramStart"/>
      <w:r w:rsidRPr="00EF468C">
        <w:rPr>
          <w:lang w:val="en-AU"/>
        </w:rPr>
        <w:t>doi</w:t>
      </w:r>
      <w:proofErr w:type="spellEnd"/>
      <w:proofErr w:type="gramEnd"/>
      <w:r w:rsidRPr="00EF468C">
        <w:rPr>
          <w:lang w:val="en-AU"/>
        </w:rPr>
        <w:t>: 10.1111/j.1559-1816.1983.tb02325.x</w:t>
      </w:r>
    </w:p>
    <w:p w:rsidR="003A41C8" w:rsidRPr="00EF468C" w:rsidRDefault="003A41C8" w:rsidP="003A41C8">
      <w:pPr>
        <w:rPr>
          <w:lang w:val="en-AU"/>
        </w:rPr>
      </w:pPr>
    </w:p>
    <w:p w:rsidR="003A41C8" w:rsidRPr="00EF468C" w:rsidRDefault="003A41C8" w:rsidP="003A41C8">
      <w:pPr>
        <w:rPr>
          <w:lang w:val="en-AU"/>
        </w:rPr>
      </w:pPr>
      <w:proofErr w:type="gramStart"/>
      <w:r w:rsidRPr="00EF468C">
        <w:rPr>
          <w:lang w:val="en-AU"/>
        </w:rPr>
        <w:t>Coyne, J. C., &amp; Downey, G. (1991).</w:t>
      </w:r>
      <w:proofErr w:type="gramEnd"/>
      <w:r w:rsidRPr="00EF468C">
        <w:rPr>
          <w:lang w:val="en-AU"/>
        </w:rPr>
        <w:t xml:space="preserve"> Social factors and psychopathology: Stress, social support and coping processes. </w:t>
      </w:r>
      <w:r w:rsidRPr="00EF468C">
        <w:rPr>
          <w:i/>
          <w:lang w:val="en-AU"/>
        </w:rPr>
        <w:t>Annual Review of Psychology, 42,</w:t>
      </w:r>
      <w:r w:rsidRPr="00EF468C">
        <w:rPr>
          <w:lang w:val="en-AU"/>
        </w:rPr>
        <w:t xml:space="preserve"> 401-425. </w:t>
      </w:r>
      <w:proofErr w:type="spellStart"/>
      <w:proofErr w:type="gramStart"/>
      <w:r w:rsidRPr="00EF468C">
        <w:rPr>
          <w:lang w:val="en-AU"/>
        </w:rPr>
        <w:t>doi</w:t>
      </w:r>
      <w:proofErr w:type="spellEnd"/>
      <w:proofErr w:type="gramEnd"/>
      <w:r w:rsidRPr="00EF468C">
        <w:rPr>
          <w:lang w:val="en-AU"/>
        </w:rPr>
        <w:t>: 10.1146/annurev.psych.42.1.401</w:t>
      </w:r>
    </w:p>
    <w:p w:rsidR="003A41C8" w:rsidRPr="00EF468C" w:rsidRDefault="003A41C8" w:rsidP="003A41C8">
      <w:pPr>
        <w:rPr>
          <w:lang w:val="en-AU"/>
        </w:rPr>
      </w:pPr>
    </w:p>
    <w:p w:rsidR="003A41C8" w:rsidRPr="00EF468C" w:rsidRDefault="003A41C8" w:rsidP="003A41C8">
      <w:pPr>
        <w:rPr>
          <w:lang w:val="en-AU"/>
        </w:rPr>
      </w:pPr>
      <w:proofErr w:type="spellStart"/>
      <w:r w:rsidRPr="00EF468C">
        <w:rPr>
          <w:lang w:val="en-AU"/>
        </w:rPr>
        <w:t>Cornwel</w:t>
      </w:r>
      <w:proofErr w:type="spellEnd"/>
      <w:r w:rsidRPr="00EF468C">
        <w:rPr>
          <w:lang w:val="en-AU"/>
        </w:rPr>
        <w:t xml:space="preserve">, B. (2003). The dynamic properties of social support: Decay, growth and </w:t>
      </w:r>
      <w:proofErr w:type="spellStart"/>
      <w:r w:rsidRPr="00EF468C">
        <w:rPr>
          <w:lang w:val="en-AU"/>
        </w:rPr>
        <w:t>staticity</w:t>
      </w:r>
      <w:proofErr w:type="spellEnd"/>
      <w:r w:rsidRPr="00EF468C">
        <w:rPr>
          <w:lang w:val="en-AU"/>
        </w:rPr>
        <w:t xml:space="preserve"> and their effects on adolescent depression. </w:t>
      </w:r>
      <w:proofErr w:type="gramStart"/>
      <w:r w:rsidRPr="00EF468C">
        <w:rPr>
          <w:i/>
          <w:lang w:val="en-AU"/>
        </w:rPr>
        <w:t>Social forces, 81,</w:t>
      </w:r>
      <w:r w:rsidRPr="00EF468C">
        <w:rPr>
          <w:lang w:val="en-AU"/>
        </w:rPr>
        <w:t xml:space="preserve"> 953-979.</w:t>
      </w:r>
      <w:proofErr w:type="gramEnd"/>
      <w:r w:rsidRPr="00EF468C">
        <w:rPr>
          <w:lang w:val="en-AU"/>
        </w:rPr>
        <w:t xml:space="preserve"> doi:10.1353/sof.2003.0029</w:t>
      </w:r>
    </w:p>
    <w:p w:rsidR="003A41C8" w:rsidRPr="00EF468C" w:rsidRDefault="003A41C8" w:rsidP="003A41C8">
      <w:pPr>
        <w:rPr>
          <w:lang w:val="en-AU"/>
        </w:rPr>
      </w:pPr>
    </w:p>
    <w:p w:rsidR="003A41C8" w:rsidRPr="00EF468C" w:rsidRDefault="003A41C8" w:rsidP="003A41C8">
      <w:pPr>
        <w:rPr>
          <w:lang w:val="en-AU"/>
        </w:rPr>
      </w:pPr>
      <w:proofErr w:type="spellStart"/>
      <w:r w:rsidRPr="00EF468C">
        <w:rPr>
          <w:lang w:val="en-AU"/>
        </w:rPr>
        <w:t>Eldeleklioglu</w:t>
      </w:r>
      <w:proofErr w:type="spellEnd"/>
      <w:r w:rsidRPr="00EF468C">
        <w:rPr>
          <w:lang w:val="en-AU"/>
        </w:rPr>
        <w:t xml:space="preserve">, J. (2006). </w:t>
      </w:r>
      <w:proofErr w:type="gramStart"/>
      <w:r w:rsidRPr="00EF468C">
        <w:rPr>
          <w:lang w:val="en-AU"/>
        </w:rPr>
        <w:t>The relationship between the perceived social support and the level of depression and anxiety in university students.</w:t>
      </w:r>
      <w:proofErr w:type="gramEnd"/>
      <w:r w:rsidRPr="00EF468C">
        <w:rPr>
          <w:lang w:val="en-AU"/>
        </w:rPr>
        <w:t xml:space="preserve"> </w:t>
      </w:r>
      <w:proofErr w:type="spellStart"/>
      <w:proofErr w:type="gramStart"/>
      <w:r w:rsidRPr="00EF468C">
        <w:rPr>
          <w:i/>
          <w:lang w:val="en-AU"/>
        </w:rPr>
        <w:t>Kuram</w:t>
      </w:r>
      <w:proofErr w:type="spellEnd"/>
      <w:r w:rsidRPr="00EF468C">
        <w:rPr>
          <w:i/>
          <w:lang w:val="en-AU"/>
        </w:rPr>
        <w:t xml:space="preserve"> </w:t>
      </w:r>
      <w:proofErr w:type="spellStart"/>
      <w:r w:rsidRPr="00EF468C">
        <w:rPr>
          <w:i/>
          <w:lang w:val="en-AU"/>
        </w:rPr>
        <w:t>ve</w:t>
      </w:r>
      <w:proofErr w:type="spellEnd"/>
      <w:r w:rsidRPr="00EF468C">
        <w:rPr>
          <w:i/>
          <w:lang w:val="en-AU"/>
        </w:rPr>
        <w:t xml:space="preserve"> </w:t>
      </w:r>
      <w:proofErr w:type="spellStart"/>
      <w:r w:rsidRPr="00EF468C">
        <w:rPr>
          <w:i/>
          <w:lang w:val="en-AU"/>
        </w:rPr>
        <w:t>Uygulamada</w:t>
      </w:r>
      <w:proofErr w:type="spellEnd"/>
      <w:r w:rsidRPr="00EF468C">
        <w:rPr>
          <w:i/>
          <w:lang w:val="en-AU"/>
        </w:rPr>
        <w:t xml:space="preserve"> </w:t>
      </w:r>
      <w:proofErr w:type="spellStart"/>
      <w:r w:rsidRPr="00EF468C">
        <w:rPr>
          <w:i/>
          <w:lang w:val="en-AU"/>
        </w:rPr>
        <w:t>Egitim</w:t>
      </w:r>
      <w:proofErr w:type="spellEnd"/>
      <w:r w:rsidRPr="00EF468C">
        <w:rPr>
          <w:i/>
          <w:lang w:val="en-AU"/>
        </w:rPr>
        <w:t xml:space="preserve"> </w:t>
      </w:r>
      <w:proofErr w:type="spellStart"/>
      <w:r w:rsidRPr="00EF468C">
        <w:rPr>
          <w:i/>
          <w:lang w:val="en-AU"/>
        </w:rPr>
        <w:t>Bilimleri</w:t>
      </w:r>
      <w:proofErr w:type="spellEnd"/>
      <w:r w:rsidRPr="00EF468C">
        <w:rPr>
          <w:i/>
          <w:lang w:val="en-AU"/>
        </w:rPr>
        <w:t>, 6,</w:t>
      </w:r>
      <w:r w:rsidRPr="00EF468C">
        <w:rPr>
          <w:lang w:val="en-AU"/>
        </w:rPr>
        <w:t xml:space="preserve"> 742-752.</w:t>
      </w:r>
      <w:proofErr w:type="gramEnd"/>
      <w:r w:rsidRPr="00EF468C">
        <w:rPr>
          <w:lang w:val="en-AU"/>
        </w:rPr>
        <w:t xml:space="preserve"> </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spellStart"/>
      <w:proofErr w:type="gramStart"/>
      <w:r w:rsidRPr="00EF468C">
        <w:rPr>
          <w:lang w:val="en-AU"/>
        </w:rPr>
        <w:t>Eng</w:t>
      </w:r>
      <w:proofErr w:type="spellEnd"/>
      <w:r w:rsidRPr="00EF468C">
        <w:rPr>
          <w:lang w:val="en-AU"/>
        </w:rPr>
        <w:t xml:space="preserve">, W., &amp; </w:t>
      </w:r>
      <w:proofErr w:type="spellStart"/>
      <w:r w:rsidRPr="00EF468C">
        <w:rPr>
          <w:lang w:val="en-AU"/>
        </w:rPr>
        <w:t>Heimberg</w:t>
      </w:r>
      <w:proofErr w:type="spellEnd"/>
      <w:r w:rsidRPr="00EF468C">
        <w:rPr>
          <w:lang w:val="en-AU"/>
        </w:rPr>
        <w:t>, R. G. (2006).</w:t>
      </w:r>
      <w:proofErr w:type="gramEnd"/>
      <w:r w:rsidRPr="00EF468C">
        <w:rPr>
          <w:lang w:val="en-AU"/>
        </w:rPr>
        <w:t xml:space="preserve"> Interpersonal correlates of generalized anxiety disorder: Self versus other perception. </w:t>
      </w:r>
      <w:r w:rsidRPr="00EF468C">
        <w:rPr>
          <w:i/>
          <w:lang w:val="en-AU"/>
        </w:rPr>
        <w:t>Journal of Anxiety Disorders, 20,</w:t>
      </w:r>
      <w:r w:rsidRPr="00EF468C">
        <w:rPr>
          <w:lang w:val="en-AU"/>
        </w:rPr>
        <w:t xml:space="preserve"> 380–387. </w:t>
      </w:r>
      <w:proofErr w:type="spellStart"/>
      <w:proofErr w:type="gramStart"/>
      <w:r w:rsidRPr="00EF468C">
        <w:rPr>
          <w:lang w:val="en-AU"/>
        </w:rPr>
        <w:t>doi</w:t>
      </w:r>
      <w:proofErr w:type="spellEnd"/>
      <w:proofErr w:type="gramEnd"/>
      <w:r w:rsidRPr="00EF468C">
        <w:rPr>
          <w:lang w:val="en-AU"/>
        </w:rPr>
        <w:t>: 10.1016/j.janxdis.2005.02.005</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t xml:space="preserve">Floyd, M., Garfield, A., &amp; </w:t>
      </w:r>
      <w:proofErr w:type="spellStart"/>
      <w:r w:rsidRPr="00EF468C">
        <w:rPr>
          <w:lang w:val="en-AU"/>
        </w:rPr>
        <w:t>LaSota</w:t>
      </w:r>
      <w:proofErr w:type="spellEnd"/>
      <w:r w:rsidRPr="00EF468C">
        <w:rPr>
          <w:lang w:val="en-AU"/>
        </w:rPr>
        <w:t>, M. T. (2005).</w:t>
      </w:r>
      <w:proofErr w:type="gramEnd"/>
      <w:r w:rsidRPr="00EF468C">
        <w:rPr>
          <w:lang w:val="en-AU"/>
        </w:rPr>
        <w:t xml:space="preserve"> </w:t>
      </w:r>
      <w:proofErr w:type="gramStart"/>
      <w:r w:rsidRPr="00EF468C">
        <w:rPr>
          <w:lang w:val="en-AU"/>
        </w:rPr>
        <w:t>Anxiety sensitivity and worry.</w:t>
      </w:r>
      <w:proofErr w:type="gramEnd"/>
      <w:r w:rsidRPr="00EF468C">
        <w:rPr>
          <w:lang w:val="en-AU"/>
        </w:rPr>
        <w:t xml:space="preserve"> </w:t>
      </w:r>
      <w:r w:rsidRPr="00EF468C">
        <w:rPr>
          <w:i/>
          <w:lang w:val="en-AU"/>
        </w:rPr>
        <w:t xml:space="preserve">Personality and Individual Differences, 38, </w:t>
      </w:r>
      <w:r w:rsidRPr="00EF468C">
        <w:rPr>
          <w:lang w:val="en-AU"/>
        </w:rPr>
        <w:t xml:space="preserve">1223–1229. </w:t>
      </w:r>
      <w:proofErr w:type="spellStart"/>
      <w:proofErr w:type="gramStart"/>
      <w:r w:rsidRPr="00EF468C">
        <w:rPr>
          <w:lang w:val="en-AU"/>
        </w:rPr>
        <w:t>doi</w:t>
      </w:r>
      <w:proofErr w:type="spellEnd"/>
      <w:proofErr w:type="gramEnd"/>
      <w:r w:rsidRPr="00EF468C">
        <w:rPr>
          <w:lang w:val="en-AU"/>
        </w:rPr>
        <w:t>: 10.1016/j.paid.2004.08.005</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t>Guttmann-Steinmetz, S., &amp; Crowell, J. A. (2006).</w:t>
      </w:r>
      <w:proofErr w:type="gramEnd"/>
      <w:r w:rsidRPr="00EF468C">
        <w:rPr>
          <w:lang w:val="en-AU"/>
        </w:rPr>
        <w:t xml:space="preserve"> Attachment and externalizing disorders: A developmental psychopathology perspective</w:t>
      </w:r>
      <w:r w:rsidRPr="00EF468C">
        <w:rPr>
          <w:i/>
          <w:lang w:val="en-AU"/>
        </w:rPr>
        <w:t xml:space="preserve">. Journal of the American Academy of Child and Adolescent Psychiatry, 45, </w:t>
      </w:r>
      <w:r w:rsidRPr="00EF468C">
        <w:rPr>
          <w:lang w:val="en-AU"/>
        </w:rPr>
        <w:t>440–450.</w:t>
      </w:r>
      <w:r w:rsidR="009F0F41" w:rsidRPr="00EF468C">
        <w:rPr>
          <w:lang w:val="en-AU"/>
        </w:rPr>
        <w:t xml:space="preserve"> </w:t>
      </w:r>
      <w:proofErr w:type="spellStart"/>
      <w:proofErr w:type="gramStart"/>
      <w:r w:rsidR="009F0F41" w:rsidRPr="00EF468C">
        <w:rPr>
          <w:rFonts w:cs="Verdana"/>
          <w:lang w:val="en-AU" w:eastAsia="en-US"/>
        </w:rPr>
        <w:t>doi</w:t>
      </w:r>
      <w:proofErr w:type="spellEnd"/>
      <w:proofErr w:type="gramEnd"/>
      <w:r w:rsidR="009F0F41" w:rsidRPr="00EF468C">
        <w:rPr>
          <w:rFonts w:cs="Verdana"/>
          <w:lang w:val="en-AU" w:eastAsia="en-US"/>
        </w:rPr>
        <w:t>: 10.1097/01.chi.0000196422.42599.63</w:t>
      </w:r>
    </w:p>
    <w:p w:rsidR="003A41C8" w:rsidRPr="00EF468C" w:rsidRDefault="003A41C8" w:rsidP="003A41C8">
      <w:pPr>
        <w:autoSpaceDE w:val="0"/>
        <w:autoSpaceDN w:val="0"/>
        <w:adjustRightInd w:val="0"/>
        <w:rPr>
          <w:lang w:val="en-AU"/>
        </w:rPr>
      </w:pPr>
    </w:p>
    <w:p w:rsidR="003A41C8" w:rsidRPr="00EF468C" w:rsidRDefault="00882E85" w:rsidP="003A41C8">
      <w:pPr>
        <w:autoSpaceDE w:val="0"/>
        <w:autoSpaceDN w:val="0"/>
        <w:adjustRightInd w:val="0"/>
        <w:rPr>
          <w:lang w:val="en-AU"/>
        </w:rPr>
      </w:pPr>
      <w:r w:rsidRPr="00EF468C">
        <w:rPr>
          <w:lang w:val="en-AU"/>
        </w:rPr>
        <w:t>Hale, W.</w:t>
      </w:r>
      <w:r w:rsidR="003A41C8" w:rsidRPr="00EF468C">
        <w:rPr>
          <w:lang w:val="en-AU"/>
        </w:rPr>
        <w:t xml:space="preserve">W., III, Engels, R., &amp; </w:t>
      </w:r>
      <w:proofErr w:type="spellStart"/>
      <w:r w:rsidR="003A41C8" w:rsidRPr="00EF468C">
        <w:rPr>
          <w:lang w:val="en-AU"/>
        </w:rPr>
        <w:t>Meeus</w:t>
      </w:r>
      <w:proofErr w:type="spellEnd"/>
      <w:r w:rsidR="003A41C8" w:rsidRPr="00EF468C">
        <w:rPr>
          <w:lang w:val="en-AU"/>
        </w:rPr>
        <w:t xml:space="preserve">, W. (2006). </w:t>
      </w:r>
      <w:proofErr w:type="gramStart"/>
      <w:r w:rsidR="003A41C8" w:rsidRPr="00EF468C">
        <w:rPr>
          <w:lang w:val="en-AU"/>
        </w:rPr>
        <w:t>Adolescent’s perceptions of parenting behaviours and its relationship to adolescent Generalized Anxiety Disorder symptoms.</w:t>
      </w:r>
      <w:proofErr w:type="gramEnd"/>
      <w:r w:rsidR="003A41C8" w:rsidRPr="00EF468C">
        <w:rPr>
          <w:lang w:val="en-AU"/>
        </w:rPr>
        <w:t xml:space="preserve"> </w:t>
      </w:r>
      <w:r w:rsidR="003A41C8" w:rsidRPr="00EF468C">
        <w:rPr>
          <w:i/>
          <w:lang w:val="en-AU"/>
        </w:rPr>
        <w:t>Journal of Adolescence, 29,</w:t>
      </w:r>
      <w:r w:rsidR="003A41C8" w:rsidRPr="00EF468C">
        <w:rPr>
          <w:lang w:val="en-AU"/>
        </w:rPr>
        <w:t xml:space="preserve"> 407–417.</w:t>
      </w:r>
      <w:r w:rsidRPr="00EF468C">
        <w:rPr>
          <w:lang w:val="en-AU"/>
        </w:rPr>
        <w:t xml:space="preserve"> </w:t>
      </w:r>
      <w:proofErr w:type="spellStart"/>
      <w:proofErr w:type="gramStart"/>
      <w:r w:rsidRPr="00EF468C">
        <w:rPr>
          <w:szCs w:val="32"/>
          <w:lang w:val="en-AU" w:eastAsia="en-US"/>
        </w:rPr>
        <w:t>doi</w:t>
      </w:r>
      <w:proofErr w:type="spellEnd"/>
      <w:proofErr w:type="gramEnd"/>
      <w:r w:rsidRPr="00EF468C">
        <w:rPr>
          <w:szCs w:val="32"/>
          <w:lang w:val="en-AU" w:eastAsia="en-US"/>
        </w:rPr>
        <w:t>: 10.1016/j.adolescence.2005.08.002.</w:t>
      </w:r>
    </w:p>
    <w:p w:rsidR="003A41C8" w:rsidRPr="00EF468C" w:rsidRDefault="003A41C8" w:rsidP="003A41C8">
      <w:pPr>
        <w:autoSpaceDE w:val="0"/>
        <w:autoSpaceDN w:val="0"/>
        <w:adjustRightInd w:val="0"/>
        <w:rPr>
          <w:lang w:val="en-AU"/>
        </w:rPr>
      </w:pPr>
    </w:p>
    <w:p w:rsidR="00A64532" w:rsidRPr="00EF468C" w:rsidRDefault="00A64532" w:rsidP="003A41C8">
      <w:pPr>
        <w:autoSpaceDE w:val="0"/>
        <w:autoSpaceDN w:val="0"/>
        <w:adjustRightInd w:val="0"/>
        <w:rPr>
          <w:lang w:val="en-AU"/>
        </w:rPr>
      </w:pPr>
      <w:r w:rsidRPr="00EF468C">
        <w:rPr>
          <w:rFonts w:cs="Arial"/>
          <w:lang w:val="en-AU" w:eastAsia="en-US"/>
        </w:rPr>
        <w:t xml:space="preserve">Kim, J. H. and </w:t>
      </w:r>
      <w:proofErr w:type="spellStart"/>
      <w:r w:rsidRPr="00EF468C">
        <w:rPr>
          <w:rFonts w:cs="Arial"/>
          <w:lang w:val="en-AU" w:eastAsia="en-US"/>
        </w:rPr>
        <w:t>Ganella</w:t>
      </w:r>
      <w:proofErr w:type="spellEnd"/>
      <w:r w:rsidRPr="00EF468C">
        <w:rPr>
          <w:rFonts w:cs="Arial"/>
          <w:lang w:val="en-AU" w:eastAsia="en-US"/>
        </w:rPr>
        <w:t xml:space="preserve">, D. E. (2015), </w:t>
      </w:r>
      <w:proofErr w:type="gramStart"/>
      <w:r w:rsidRPr="00EF468C">
        <w:rPr>
          <w:rFonts w:cs="Arial"/>
          <w:lang w:val="en-AU" w:eastAsia="en-US"/>
        </w:rPr>
        <w:t>A</w:t>
      </w:r>
      <w:proofErr w:type="gramEnd"/>
      <w:r w:rsidRPr="00EF468C">
        <w:rPr>
          <w:rFonts w:cs="Arial"/>
          <w:lang w:val="en-AU" w:eastAsia="en-US"/>
        </w:rPr>
        <w:t xml:space="preserve"> Review of Preclinical Studies to Understand Fear During Adolescence. Australian Psychologist, 50: 25–31. </w:t>
      </w:r>
      <w:proofErr w:type="spellStart"/>
      <w:proofErr w:type="gramStart"/>
      <w:r w:rsidRPr="00EF468C">
        <w:rPr>
          <w:rFonts w:cs="Arial"/>
          <w:lang w:val="en-AU" w:eastAsia="en-US"/>
        </w:rPr>
        <w:t>doi</w:t>
      </w:r>
      <w:proofErr w:type="spellEnd"/>
      <w:proofErr w:type="gramEnd"/>
      <w:r w:rsidRPr="00EF468C">
        <w:rPr>
          <w:rFonts w:cs="Arial"/>
          <w:lang w:val="en-AU" w:eastAsia="en-US"/>
        </w:rPr>
        <w:t>: 10.1111/ap.12066</w:t>
      </w:r>
    </w:p>
    <w:p w:rsidR="00A64532" w:rsidRPr="00EF468C" w:rsidRDefault="00A64532" w:rsidP="003A41C8">
      <w:pPr>
        <w:autoSpaceDE w:val="0"/>
        <w:autoSpaceDN w:val="0"/>
        <w:adjustRightInd w:val="0"/>
        <w:rPr>
          <w:lang w:val="en-AU"/>
        </w:rPr>
      </w:pPr>
    </w:p>
    <w:p w:rsidR="003A41C8" w:rsidRPr="00EF468C" w:rsidRDefault="003A41C8" w:rsidP="003A41C8">
      <w:pPr>
        <w:autoSpaceDE w:val="0"/>
        <w:autoSpaceDN w:val="0"/>
        <w:adjustRightInd w:val="0"/>
        <w:rPr>
          <w:color w:val="000000" w:themeColor="text1"/>
          <w:lang w:val="en-AU"/>
        </w:rPr>
      </w:pPr>
      <w:proofErr w:type="spellStart"/>
      <w:proofErr w:type="gramStart"/>
      <w:r w:rsidRPr="00EF468C">
        <w:rPr>
          <w:lang w:val="en-AU"/>
        </w:rPr>
        <w:t>Laible</w:t>
      </w:r>
      <w:proofErr w:type="spellEnd"/>
      <w:r w:rsidRPr="00EF468C">
        <w:rPr>
          <w:lang w:val="en-AU"/>
        </w:rPr>
        <w:t xml:space="preserve">, D. J., Carlo, G., &amp; </w:t>
      </w:r>
      <w:proofErr w:type="spellStart"/>
      <w:r w:rsidRPr="00EF468C">
        <w:rPr>
          <w:lang w:val="en-AU"/>
        </w:rPr>
        <w:t>Raffaelli</w:t>
      </w:r>
      <w:proofErr w:type="spellEnd"/>
      <w:r w:rsidRPr="00EF468C">
        <w:rPr>
          <w:lang w:val="en-AU"/>
        </w:rPr>
        <w:t>, M. (2000).</w:t>
      </w:r>
      <w:proofErr w:type="gramEnd"/>
      <w:r w:rsidRPr="00EF468C">
        <w:rPr>
          <w:lang w:val="en-AU"/>
        </w:rPr>
        <w:t xml:space="preserve"> The differential relations of parent and peer attachment to adolescent adjustment. </w:t>
      </w:r>
      <w:r w:rsidRPr="00EF468C">
        <w:rPr>
          <w:i/>
          <w:lang w:val="en-AU"/>
        </w:rPr>
        <w:t>Journal of Youth and Adolescence, 29,</w:t>
      </w:r>
      <w:r w:rsidRPr="00EF468C">
        <w:rPr>
          <w:lang w:val="en-AU"/>
        </w:rPr>
        <w:t xml:space="preserve"> 45–59.</w:t>
      </w:r>
      <w:r w:rsidR="00882E85" w:rsidRPr="00EF468C">
        <w:rPr>
          <w:lang w:val="en-AU"/>
        </w:rPr>
        <w:t xml:space="preserve"> </w:t>
      </w:r>
      <w:proofErr w:type="spellStart"/>
      <w:proofErr w:type="gramStart"/>
      <w:r w:rsidR="00882E85" w:rsidRPr="00EF468C">
        <w:rPr>
          <w:rFonts w:cs="Arial"/>
          <w:bCs/>
          <w:color w:val="000000" w:themeColor="text1"/>
          <w:szCs w:val="26"/>
          <w:lang w:val="en-AU" w:eastAsia="en-US"/>
        </w:rPr>
        <w:t>doi</w:t>
      </w:r>
      <w:proofErr w:type="spellEnd"/>
      <w:proofErr w:type="gramEnd"/>
      <w:r w:rsidR="00882E85" w:rsidRPr="00EF468C">
        <w:rPr>
          <w:rFonts w:cs="Arial"/>
          <w:color w:val="000000" w:themeColor="text1"/>
          <w:szCs w:val="26"/>
          <w:lang w:val="en-AU" w:eastAsia="en-US"/>
        </w:rPr>
        <w:t>: 10.102 3/A:1005169004882.</w:t>
      </w:r>
    </w:p>
    <w:p w:rsidR="003A41C8" w:rsidRPr="00EF468C" w:rsidRDefault="003A41C8" w:rsidP="003A41C8">
      <w:pPr>
        <w:autoSpaceDE w:val="0"/>
        <w:autoSpaceDN w:val="0"/>
        <w:adjustRightInd w:val="0"/>
        <w:rPr>
          <w:lang w:val="en-AU"/>
        </w:rPr>
      </w:pPr>
    </w:p>
    <w:p w:rsidR="00950102" w:rsidRPr="00EF468C" w:rsidRDefault="003A41C8" w:rsidP="003A41C8">
      <w:pPr>
        <w:autoSpaceDE w:val="0"/>
        <w:autoSpaceDN w:val="0"/>
        <w:adjustRightInd w:val="0"/>
        <w:rPr>
          <w:lang w:val="en-AU"/>
        </w:rPr>
      </w:pPr>
      <w:proofErr w:type="spellStart"/>
      <w:proofErr w:type="gramStart"/>
      <w:r w:rsidRPr="00EF468C">
        <w:rPr>
          <w:lang w:val="en-AU"/>
        </w:rPr>
        <w:t>Leen-Feldner</w:t>
      </w:r>
      <w:proofErr w:type="spellEnd"/>
      <w:r w:rsidRPr="00EF468C">
        <w:rPr>
          <w:lang w:val="en-AU"/>
        </w:rPr>
        <w:t xml:space="preserve">, E.W., </w:t>
      </w:r>
      <w:proofErr w:type="spellStart"/>
      <w:r w:rsidRPr="00EF468C">
        <w:rPr>
          <w:lang w:val="en-AU"/>
        </w:rPr>
        <w:t>Feldner</w:t>
      </w:r>
      <w:proofErr w:type="spellEnd"/>
      <w:r w:rsidRPr="00EF468C">
        <w:rPr>
          <w:lang w:val="en-AU"/>
        </w:rPr>
        <w:t xml:space="preserve">, M. T., </w:t>
      </w:r>
      <w:proofErr w:type="spellStart"/>
      <w:r w:rsidRPr="00EF468C">
        <w:rPr>
          <w:lang w:val="en-AU"/>
        </w:rPr>
        <w:t>Tull</w:t>
      </w:r>
      <w:proofErr w:type="spellEnd"/>
      <w:r w:rsidRPr="00EF468C">
        <w:rPr>
          <w:lang w:val="en-AU"/>
        </w:rPr>
        <w:t xml:space="preserve">, M. T., Roemer, L., &amp; </w:t>
      </w:r>
      <w:proofErr w:type="spellStart"/>
      <w:r w:rsidRPr="00EF468C">
        <w:rPr>
          <w:lang w:val="en-AU"/>
        </w:rPr>
        <w:t>Zvolensky</w:t>
      </w:r>
      <w:proofErr w:type="spellEnd"/>
      <w:r w:rsidRPr="00EF468C">
        <w:rPr>
          <w:lang w:val="en-AU"/>
        </w:rPr>
        <w:t>, M. J. (2006).</w:t>
      </w:r>
      <w:proofErr w:type="gramEnd"/>
      <w:r w:rsidRPr="00EF468C">
        <w:rPr>
          <w:lang w:val="en-AU"/>
        </w:rPr>
        <w:t xml:space="preserve"> </w:t>
      </w:r>
      <w:proofErr w:type="gramStart"/>
      <w:r w:rsidRPr="00EF468C">
        <w:rPr>
          <w:lang w:val="en-AU"/>
        </w:rPr>
        <w:t>An examination of worry in relation to anxious responding to voluntary hyperventilation among adolescents.</w:t>
      </w:r>
      <w:proofErr w:type="gramEnd"/>
      <w:r w:rsidRPr="00EF468C">
        <w:rPr>
          <w:lang w:val="en-AU"/>
        </w:rPr>
        <w:t xml:space="preserve"> </w:t>
      </w:r>
      <w:r w:rsidRPr="00EF468C">
        <w:rPr>
          <w:i/>
          <w:lang w:val="en-AU"/>
        </w:rPr>
        <w:t>Behaviour Research and Therapy, 44,</w:t>
      </w:r>
      <w:r w:rsidRPr="00EF468C">
        <w:rPr>
          <w:lang w:val="en-AU"/>
        </w:rPr>
        <w:t xml:space="preserve"> 1803–1809.</w:t>
      </w:r>
      <w:r w:rsidR="00950102" w:rsidRPr="00EF468C">
        <w:rPr>
          <w:lang w:val="en-AU"/>
        </w:rPr>
        <w:t xml:space="preserve"> doi:10.1016/j.brat.2005.12.014</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i/>
          <w:lang w:val="en-AU"/>
        </w:rPr>
      </w:pPr>
      <w:proofErr w:type="spellStart"/>
      <w:proofErr w:type="gramStart"/>
      <w:r w:rsidRPr="00EF468C">
        <w:rPr>
          <w:lang w:val="en-AU"/>
        </w:rPr>
        <w:t>Mennin</w:t>
      </w:r>
      <w:proofErr w:type="spellEnd"/>
      <w:r w:rsidRPr="00EF468C">
        <w:rPr>
          <w:lang w:val="en-AU"/>
        </w:rPr>
        <w:t xml:space="preserve">, D. S., </w:t>
      </w:r>
      <w:proofErr w:type="spellStart"/>
      <w:r w:rsidRPr="00EF468C">
        <w:rPr>
          <w:lang w:val="en-AU"/>
        </w:rPr>
        <w:t>Heimberg</w:t>
      </w:r>
      <w:proofErr w:type="spellEnd"/>
      <w:r w:rsidRPr="00EF468C">
        <w:rPr>
          <w:lang w:val="en-AU"/>
        </w:rPr>
        <w:t>, R. G., Turk, C. L., &amp; Fresco, D. M. (2005).</w:t>
      </w:r>
      <w:proofErr w:type="gramEnd"/>
      <w:r w:rsidRPr="00EF468C">
        <w:rPr>
          <w:lang w:val="en-AU"/>
        </w:rPr>
        <w:t xml:space="preserve"> Preliminary evidence for an emotion dysregulation model of generalized anxiety disorder. </w:t>
      </w:r>
      <w:r w:rsidRPr="00EF468C">
        <w:rPr>
          <w:i/>
          <w:lang w:val="en-AU"/>
        </w:rPr>
        <w:t>Behaviour Research</w:t>
      </w:r>
    </w:p>
    <w:p w:rsidR="003A41C8" w:rsidRPr="00EF468C" w:rsidRDefault="003A41C8" w:rsidP="003A41C8">
      <w:pPr>
        <w:autoSpaceDE w:val="0"/>
        <w:autoSpaceDN w:val="0"/>
        <w:adjustRightInd w:val="0"/>
        <w:rPr>
          <w:lang w:val="en-AU"/>
        </w:rPr>
      </w:pPr>
      <w:proofErr w:type="gramStart"/>
      <w:r w:rsidRPr="00EF468C">
        <w:rPr>
          <w:i/>
          <w:lang w:val="en-AU"/>
        </w:rPr>
        <w:t>and</w:t>
      </w:r>
      <w:proofErr w:type="gramEnd"/>
      <w:r w:rsidRPr="00EF468C">
        <w:rPr>
          <w:i/>
          <w:lang w:val="en-AU"/>
        </w:rPr>
        <w:t xml:space="preserve"> Therapy, 43, </w:t>
      </w:r>
      <w:r w:rsidRPr="00EF468C">
        <w:rPr>
          <w:lang w:val="en-AU"/>
        </w:rPr>
        <w:t xml:space="preserve">1281–1310. </w:t>
      </w:r>
      <w:proofErr w:type="spellStart"/>
      <w:proofErr w:type="gramStart"/>
      <w:r w:rsidRPr="00EF468C">
        <w:rPr>
          <w:lang w:val="en-AU"/>
        </w:rPr>
        <w:t>doi</w:t>
      </w:r>
      <w:proofErr w:type="spellEnd"/>
      <w:proofErr w:type="gramEnd"/>
      <w:r w:rsidRPr="00EF468C">
        <w:rPr>
          <w:lang w:val="en-AU"/>
        </w:rPr>
        <w:t>: 10.1016/j.brat.2004.08.008</w:t>
      </w:r>
    </w:p>
    <w:p w:rsidR="00A543E7" w:rsidRPr="00EF468C" w:rsidRDefault="00A543E7" w:rsidP="003A41C8">
      <w:pPr>
        <w:autoSpaceDE w:val="0"/>
        <w:autoSpaceDN w:val="0"/>
        <w:adjustRightInd w:val="0"/>
        <w:rPr>
          <w:lang w:val="en-AU"/>
        </w:rPr>
      </w:pPr>
    </w:p>
    <w:p w:rsidR="00A543E7" w:rsidRPr="00EF468C" w:rsidRDefault="00A543E7" w:rsidP="00A543E7">
      <w:pPr>
        <w:widowControl w:val="0"/>
        <w:autoSpaceDE w:val="0"/>
        <w:autoSpaceDN w:val="0"/>
        <w:adjustRightInd w:val="0"/>
        <w:rPr>
          <w:rFonts w:cs="Arial"/>
          <w:bCs/>
          <w:color w:val="000000" w:themeColor="text1"/>
          <w:szCs w:val="32"/>
          <w:lang w:val="en-AU"/>
        </w:rPr>
      </w:pPr>
      <w:proofErr w:type="spellStart"/>
      <w:proofErr w:type="gramStart"/>
      <w:r w:rsidRPr="00EF468C">
        <w:rPr>
          <w:rFonts w:cs="Arial"/>
          <w:bCs/>
          <w:color w:val="000000" w:themeColor="text1"/>
          <w:szCs w:val="32"/>
          <w:lang w:val="en-AU"/>
        </w:rPr>
        <w:t>Marganska</w:t>
      </w:r>
      <w:proofErr w:type="spellEnd"/>
      <w:r w:rsidRPr="00EF468C">
        <w:rPr>
          <w:rFonts w:cs="Arial"/>
          <w:bCs/>
          <w:color w:val="000000" w:themeColor="text1"/>
          <w:szCs w:val="32"/>
          <w:lang w:val="en-AU"/>
        </w:rPr>
        <w:t>, A., Gallagher, M., Miranda, R. (2013).</w:t>
      </w:r>
      <w:proofErr w:type="gramEnd"/>
      <w:r w:rsidRPr="00EF468C">
        <w:rPr>
          <w:rFonts w:cs="Arial"/>
          <w:bCs/>
          <w:color w:val="000000" w:themeColor="text1"/>
          <w:szCs w:val="32"/>
          <w:lang w:val="en-AU"/>
        </w:rPr>
        <w:t xml:space="preserve"> </w:t>
      </w:r>
      <w:proofErr w:type="gramStart"/>
      <w:r w:rsidRPr="00EF468C">
        <w:rPr>
          <w:rFonts w:cs="Arial"/>
          <w:bCs/>
          <w:color w:val="000000" w:themeColor="text1"/>
          <w:szCs w:val="32"/>
          <w:lang w:val="en-AU"/>
        </w:rPr>
        <w:t>Adult attachment, emotion dysregulation, and symptoms of depression and generalized anxiety disorder.</w:t>
      </w:r>
      <w:proofErr w:type="gramEnd"/>
      <w:r w:rsidRPr="00EF468C">
        <w:rPr>
          <w:rFonts w:cs="Arial"/>
          <w:bCs/>
          <w:color w:val="000000" w:themeColor="text1"/>
          <w:szCs w:val="32"/>
          <w:lang w:val="en-AU"/>
        </w:rPr>
        <w:t xml:space="preserve"> </w:t>
      </w:r>
      <w:r w:rsidRPr="00EF468C">
        <w:rPr>
          <w:rFonts w:cs="Arial"/>
          <w:i/>
          <w:color w:val="000000" w:themeColor="text1"/>
          <w:szCs w:val="22"/>
          <w:lang w:val="en-AU"/>
        </w:rPr>
        <w:t>American Journal of Orthopsychiatry, 83</w:t>
      </w:r>
      <w:r w:rsidRPr="00EF468C">
        <w:rPr>
          <w:rFonts w:cs="Arial"/>
          <w:color w:val="000000" w:themeColor="text1"/>
          <w:szCs w:val="22"/>
          <w:lang w:val="en-AU"/>
        </w:rPr>
        <w:t>, 131-141.</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t xml:space="preserve">Meyer, T. J., Miller, M. L., Metzger, R. L., &amp; </w:t>
      </w:r>
      <w:proofErr w:type="spellStart"/>
      <w:r w:rsidRPr="00EF468C">
        <w:rPr>
          <w:lang w:val="en-AU"/>
        </w:rPr>
        <w:t>Borkovec</w:t>
      </w:r>
      <w:proofErr w:type="spellEnd"/>
      <w:r w:rsidRPr="00EF468C">
        <w:rPr>
          <w:lang w:val="en-AU"/>
        </w:rPr>
        <w:t>, T. D. (1990).</w:t>
      </w:r>
      <w:proofErr w:type="gramEnd"/>
      <w:r w:rsidRPr="00EF468C">
        <w:rPr>
          <w:lang w:val="en-AU"/>
        </w:rPr>
        <w:t xml:space="preserve"> </w:t>
      </w:r>
      <w:proofErr w:type="gramStart"/>
      <w:r w:rsidRPr="00EF468C">
        <w:rPr>
          <w:lang w:val="en-AU"/>
        </w:rPr>
        <w:t>Development and validation of the Penn State Worry Questionnaire.</w:t>
      </w:r>
      <w:proofErr w:type="gramEnd"/>
      <w:r w:rsidRPr="00EF468C">
        <w:rPr>
          <w:lang w:val="en-AU"/>
        </w:rPr>
        <w:t xml:space="preserve"> </w:t>
      </w:r>
      <w:r w:rsidRPr="00EF468C">
        <w:rPr>
          <w:i/>
          <w:lang w:val="en-AU"/>
        </w:rPr>
        <w:t xml:space="preserve">Behaviour Research and Therapy, 28, </w:t>
      </w:r>
      <w:r w:rsidRPr="00EF468C">
        <w:rPr>
          <w:lang w:val="en-AU"/>
        </w:rPr>
        <w:t xml:space="preserve">487–495. </w:t>
      </w:r>
      <w:proofErr w:type="spellStart"/>
      <w:proofErr w:type="gramStart"/>
      <w:r w:rsidRPr="00EF468C">
        <w:rPr>
          <w:lang w:val="en-AU"/>
        </w:rPr>
        <w:t>doi</w:t>
      </w:r>
      <w:proofErr w:type="spellEnd"/>
      <w:proofErr w:type="gramEnd"/>
      <w:r w:rsidRPr="00EF468C">
        <w:rPr>
          <w:lang w:val="en-AU"/>
        </w:rPr>
        <w:t>: 10.1016/0005-7967(90)90135-6</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spellStart"/>
      <w:proofErr w:type="gramStart"/>
      <w:r w:rsidRPr="00EF468C">
        <w:rPr>
          <w:lang w:val="en-AU"/>
        </w:rPr>
        <w:t>Mennin</w:t>
      </w:r>
      <w:proofErr w:type="spellEnd"/>
      <w:r w:rsidRPr="00EF468C">
        <w:rPr>
          <w:lang w:val="en-AU"/>
        </w:rPr>
        <w:t xml:space="preserve">, D. S., </w:t>
      </w:r>
      <w:proofErr w:type="spellStart"/>
      <w:r w:rsidRPr="00EF468C">
        <w:rPr>
          <w:lang w:val="en-AU"/>
        </w:rPr>
        <w:t>Heimberg</w:t>
      </w:r>
      <w:proofErr w:type="spellEnd"/>
      <w:r w:rsidRPr="00EF468C">
        <w:rPr>
          <w:lang w:val="en-AU"/>
        </w:rPr>
        <w:t>, R. G., &amp; Turk, C. L. (2004).</w:t>
      </w:r>
      <w:proofErr w:type="gramEnd"/>
      <w:r w:rsidRPr="00EF468C">
        <w:rPr>
          <w:lang w:val="en-AU"/>
        </w:rPr>
        <w:t xml:space="preserve"> </w:t>
      </w:r>
      <w:proofErr w:type="gramStart"/>
      <w:r w:rsidRPr="00EF468C">
        <w:rPr>
          <w:lang w:val="en-AU"/>
        </w:rPr>
        <w:t>Clinical presentation and diagnostic features.</w:t>
      </w:r>
      <w:proofErr w:type="gramEnd"/>
      <w:r w:rsidRPr="00EF468C">
        <w:rPr>
          <w:lang w:val="en-AU"/>
        </w:rPr>
        <w:t xml:space="preserve"> In R. G. </w:t>
      </w:r>
      <w:proofErr w:type="spellStart"/>
      <w:r w:rsidRPr="00EF468C">
        <w:rPr>
          <w:lang w:val="en-AU"/>
        </w:rPr>
        <w:t>Heimberg</w:t>
      </w:r>
      <w:proofErr w:type="spellEnd"/>
      <w:r w:rsidRPr="00EF468C">
        <w:rPr>
          <w:lang w:val="en-AU"/>
        </w:rPr>
        <w:t xml:space="preserve">, C. L. Turn, &amp; D. S. </w:t>
      </w:r>
      <w:proofErr w:type="spellStart"/>
      <w:r w:rsidRPr="00EF468C">
        <w:rPr>
          <w:lang w:val="en-AU"/>
        </w:rPr>
        <w:t>Mennin</w:t>
      </w:r>
      <w:proofErr w:type="spellEnd"/>
      <w:r w:rsidRPr="00EF468C">
        <w:rPr>
          <w:lang w:val="en-AU"/>
        </w:rPr>
        <w:t xml:space="preserve"> (Eds.), </w:t>
      </w:r>
      <w:proofErr w:type="gramStart"/>
      <w:r w:rsidRPr="00EF468C">
        <w:rPr>
          <w:i/>
          <w:lang w:val="en-AU"/>
        </w:rPr>
        <w:t>Generalized</w:t>
      </w:r>
      <w:proofErr w:type="gramEnd"/>
      <w:r w:rsidRPr="00EF468C">
        <w:rPr>
          <w:i/>
          <w:lang w:val="en-AU"/>
        </w:rPr>
        <w:t xml:space="preserve"> anxiety disorder: Advances in research and practice</w:t>
      </w:r>
      <w:r w:rsidRPr="00EF468C">
        <w:rPr>
          <w:lang w:val="en-AU"/>
        </w:rPr>
        <w:t xml:space="preserve"> (pp. 3–28). New York: Guilford Press.</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t xml:space="preserve">Nay, W. T., Thorpe, G. L., Roberson-Nay, R., Hecker, J. E., &amp; </w:t>
      </w:r>
      <w:proofErr w:type="spellStart"/>
      <w:r w:rsidRPr="00EF468C">
        <w:rPr>
          <w:lang w:val="en-AU"/>
        </w:rPr>
        <w:t>Sigmon</w:t>
      </w:r>
      <w:proofErr w:type="spellEnd"/>
      <w:r w:rsidRPr="00EF468C">
        <w:rPr>
          <w:lang w:val="en-AU"/>
        </w:rPr>
        <w:t>, S. T. (2004).</w:t>
      </w:r>
      <w:proofErr w:type="gramEnd"/>
      <w:r w:rsidRPr="00EF468C">
        <w:rPr>
          <w:lang w:val="en-AU"/>
        </w:rPr>
        <w:t xml:space="preserve"> </w:t>
      </w:r>
      <w:proofErr w:type="gramStart"/>
      <w:r w:rsidRPr="00EF468C">
        <w:rPr>
          <w:lang w:val="en-AU"/>
        </w:rPr>
        <w:t>Attentional bias to threat and emotional response to biological challenge.</w:t>
      </w:r>
      <w:proofErr w:type="gramEnd"/>
      <w:r w:rsidRPr="00EF468C">
        <w:rPr>
          <w:lang w:val="en-AU"/>
        </w:rPr>
        <w:t xml:space="preserve"> </w:t>
      </w:r>
      <w:r w:rsidRPr="00EF468C">
        <w:rPr>
          <w:i/>
          <w:lang w:val="en-AU"/>
        </w:rPr>
        <w:t>Journal of Anxiety Disorders, 18,</w:t>
      </w:r>
      <w:r w:rsidRPr="00EF468C">
        <w:rPr>
          <w:lang w:val="en-AU"/>
        </w:rPr>
        <w:t xml:space="preserve"> 609–627. </w:t>
      </w:r>
      <w:proofErr w:type="spellStart"/>
      <w:proofErr w:type="gramStart"/>
      <w:r w:rsidRPr="00EF468C">
        <w:rPr>
          <w:lang w:val="en-AU"/>
        </w:rPr>
        <w:t>doi</w:t>
      </w:r>
      <w:proofErr w:type="spellEnd"/>
      <w:proofErr w:type="gramEnd"/>
      <w:r w:rsidRPr="00EF468C">
        <w:rPr>
          <w:lang w:val="en-AU"/>
        </w:rPr>
        <w:t>: 10.1016/j.janxdis.2003.08.003</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lastRenderedPageBreak/>
        <w:t xml:space="preserve">Newman, M. G., </w:t>
      </w:r>
      <w:proofErr w:type="spellStart"/>
      <w:r w:rsidRPr="00EF468C">
        <w:rPr>
          <w:lang w:val="en-AU"/>
        </w:rPr>
        <w:t>Zuellig</w:t>
      </w:r>
      <w:proofErr w:type="spellEnd"/>
      <w:r w:rsidRPr="00EF468C">
        <w:rPr>
          <w:lang w:val="en-AU"/>
        </w:rPr>
        <w:t xml:space="preserve">, A. R., Kachin, K. E., </w:t>
      </w:r>
      <w:proofErr w:type="spellStart"/>
      <w:r w:rsidRPr="00EF468C">
        <w:rPr>
          <w:lang w:val="en-AU"/>
        </w:rPr>
        <w:t>Constantino</w:t>
      </w:r>
      <w:proofErr w:type="spellEnd"/>
      <w:r w:rsidRPr="00EF468C">
        <w:rPr>
          <w:lang w:val="en-AU"/>
        </w:rPr>
        <w:t xml:space="preserve">, M. J., </w:t>
      </w:r>
      <w:proofErr w:type="spellStart"/>
      <w:r w:rsidRPr="00EF468C">
        <w:rPr>
          <w:lang w:val="en-AU"/>
        </w:rPr>
        <w:t>Przeworski</w:t>
      </w:r>
      <w:proofErr w:type="spellEnd"/>
      <w:r w:rsidRPr="00EF468C">
        <w:rPr>
          <w:lang w:val="en-AU"/>
        </w:rPr>
        <w:t>, A., Erickson, T., &amp; Cashman-McGrath, L. (2002).</w:t>
      </w:r>
      <w:proofErr w:type="gramEnd"/>
      <w:r w:rsidRPr="00EF468C">
        <w:rPr>
          <w:lang w:val="en-AU"/>
        </w:rPr>
        <w:t xml:space="preserve"> Preliminary reliability and validity of the GAD-Q-IV: A revised self-report diagnostic measure of generalized anxiety disorder. </w:t>
      </w:r>
      <w:proofErr w:type="spellStart"/>
      <w:r w:rsidRPr="00EF468C">
        <w:rPr>
          <w:i/>
          <w:lang w:val="en-AU"/>
        </w:rPr>
        <w:t>Behavior</w:t>
      </w:r>
      <w:proofErr w:type="spellEnd"/>
      <w:r w:rsidRPr="00EF468C">
        <w:rPr>
          <w:i/>
          <w:lang w:val="en-AU"/>
        </w:rPr>
        <w:t xml:space="preserve"> Therapy, 33,</w:t>
      </w:r>
      <w:r w:rsidRPr="00EF468C">
        <w:rPr>
          <w:lang w:val="en-AU"/>
        </w:rPr>
        <w:t xml:space="preserve"> 215–233.</w:t>
      </w:r>
      <w:r w:rsidR="00950102" w:rsidRPr="00EF468C">
        <w:rPr>
          <w:lang w:val="en-AU"/>
        </w:rPr>
        <w:t xml:space="preserve"> </w:t>
      </w:r>
      <w:proofErr w:type="gramStart"/>
      <w:r w:rsidR="00950102" w:rsidRPr="00EF468C">
        <w:rPr>
          <w:color w:val="1E2657"/>
          <w:szCs w:val="32"/>
          <w:lang w:val="en-AU" w:eastAsia="en-US"/>
        </w:rPr>
        <w:t>doi:</w:t>
      </w:r>
      <w:proofErr w:type="gramEnd"/>
      <w:r w:rsidR="00950102" w:rsidRPr="00EF468C">
        <w:rPr>
          <w:color w:val="1E2657"/>
          <w:szCs w:val="32"/>
          <w:lang w:val="en-AU" w:eastAsia="en-US"/>
        </w:rPr>
        <w:t>10.1016/S0005-7894(02)80026-0.</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r w:rsidRPr="00EF468C">
        <w:rPr>
          <w:rStyle w:val="element-citation"/>
          <w:lang w:val="en-AU"/>
        </w:rPr>
        <w:t xml:space="preserve">Peterson, R.A., &amp; Reiss, S. (1992). </w:t>
      </w:r>
      <w:proofErr w:type="gramStart"/>
      <w:r w:rsidRPr="00EF468C">
        <w:rPr>
          <w:rStyle w:val="ref-journal"/>
          <w:i/>
          <w:lang w:val="en-AU"/>
        </w:rPr>
        <w:t>A</w:t>
      </w:r>
      <w:r w:rsidR="00097F2A" w:rsidRPr="00EF468C">
        <w:rPr>
          <w:rStyle w:val="ref-journal"/>
          <w:i/>
          <w:lang w:val="en-AU"/>
        </w:rPr>
        <w:t>nxiety sensitivity index manual</w:t>
      </w:r>
      <w:r w:rsidRPr="00EF468C">
        <w:rPr>
          <w:rStyle w:val="element-citation"/>
          <w:i/>
          <w:lang w:val="en-AU"/>
        </w:rPr>
        <w:t xml:space="preserve"> </w:t>
      </w:r>
      <w:r w:rsidR="00097F2A" w:rsidRPr="00EF468C">
        <w:rPr>
          <w:rStyle w:val="element-citation"/>
          <w:lang w:val="en-AU"/>
        </w:rPr>
        <w:t>(2nd ed. rev.).</w:t>
      </w:r>
      <w:proofErr w:type="gramEnd"/>
      <w:r w:rsidR="00097F2A" w:rsidRPr="00EF468C">
        <w:rPr>
          <w:rStyle w:val="element-citation"/>
          <w:i/>
          <w:lang w:val="en-AU"/>
        </w:rPr>
        <w:t xml:space="preserve"> </w:t>
      </w:r>
      <w:r w:rsidRPr="00EF468C">
        <w:rPr>
          <w:rStyle w:val="element-citation"/>
          <w:lang w:val="en-AU"/>
        </w:rPr>
        <w:t>Worthington, OH: International Diagnostic Systems.</w:t>
      </w:r>
    </w:p>
    <w:p w:rsidR="003A41C8" w:rsidRPr="00EF468C" w:rsidRDefault="003A41C8" w:rsidP="003A41C8">
      <w:pPr>
        <w:autoSpaceDE w:val="0"/>
        <w:autoSpaceDN w:val="0"/>
        <w:adjustRightInd w:val="0"/>
        <w:rPr>
          <w:lang w:val="en-AU"/>
        </w:rPr>
      </w:pPr>
    </w:p>
    <w:p w:rsidR="00825473" w:rsidRPr="00EF468C" w:rsidRDefault="003A41C8" w:rsidP="003A41C8">
      <w:pPr>
        <w:autoSpaceDE w:val="0"/>
        <w:autoSpaceDN w:val="0"/>
        <w:adjustRightInd w:val="0"/>
        <w:rPr>
          <w:lang w:val="en-AU"/>
        </w:rPr>
      </w:pPr>
      <w:proofErr w:type="gramStart"/>
      <w:r w:rsidRPr="00EF468C">
        <w:rPr>
          <w:lang w:val="en-AU"/>
        </w:rPr>
        <w:t xml:space="preserve">Rector, N. A., </w:t>
      </w:r>
      <w:proofErr w:type="spellStart"/>
      <w:r w:rsidRPr="00EF468C">
        <w:rPr>
          <w:lang w:val="en-AU"/>
        </w:rPr>
        <w:t>Szacun</w:t>
      </w:r>
      <w:proofErr w:type="spellEnd"/>
      <w:r w:rsidRPr="00EF468C">
        <w:rPr>
          <w:lang w:val="en-AU"/>
        </w:rPr>
        <w:t xml:space="preserve">-Shimizu, K., &amp; </w:t>
      </w:r>
      <w:proofErr w:type="spellStart"/>
      <w:r w:rsidRPr="00EF468C">
        <w:rPr>
          <w:lang w:val="en-AU"/>
        </w:rPr>
        <w:t>Leybman</w:t>
      </w:r>
      <w:proofErr w:type="spellEnd"/>
      <w:r w:rsidRPr="00EF468C">
        <w:rPr>
          <w:lang w:val="en-AU"/>
        </w:rPr>
        <w:t>, M. (2007).</w:t>
      </w:r>
      <w:proofErr w:type="gramEnd"/>
      <w:r w:rsidRPr="00EF468C">
        <w:rPr>
          <w:lang w:val="en-AU"/>
        </w:rPr>
        <w:t xml:space="preserve"> Anxiety sensitivity within the anxiety disorders: Disorder-specific sensitivities and depression comorbidity. </w:t>
      </w:r>
      <w:r w:rsidRPr="00EF468C">
        <w:rPr>
          <w:i/>
          <w:lang w:val="en-AU"/>
        </w:rPr>
        <w:t xml:space="preserve">Behaviour Research and Therapy, 45, </w:t>
      </w:r>
      <w:r w:rsidRPr="00EF468C">
        <w:rPr>
          <w:lang w:val="en-AU"/>
        </w:rPr>
        <w:t xml:space="preserve">1967–1975. </w:t>
      </w:r>
      <w:proofErr w:type="spellStart"/>
      <w:proofErr w:type="gramStart"/>
      <w:r w:rsidRPr="00EF468C">
        <w:rPr>
          <w:lang w:val="en-AU"/>
        </w:rPr>
        <w:t>doi</w:t>
      </w:r>
      <w:proofErr w:type="spellEnd"/>
      <w:proofErr w:type="gramEnd"/>
      <w:r w:rsidRPr="00EF468C">
        <w:rPr>
          <w:lang w:val="en-AU"/>
        </w:rPr>
        <w:t>: 10.1016/j.brat.2006.09.017</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t>Rodriguez, B.F., Bruce, S.E., Pagano, M.E., Spencer, M.A., Keller, M.B. (2004).</w:t>
      </w:r>
      <w:proofErr w:type="gramEnd"/>
      <w:r w:rsidRPr="00EF468C">
        <w:rPr>
          <w:lang w:val="en-AU"/>
        </w:rPr>
        <w:t xml:space="preserve"> Factor structure and stability of the anxiety sensitivity Index in a longitudinal study of anxiety disorder patients. </w:t>
      </w:r>
      <w:r w:rsidRPr="00EF468C">
        <w:rPr>
          <w:i/>
          <w:lang w:val="en-AU"/>
        </w:rPr>
        <w:t>Behaviour Research and Therapy, 42,</w:t>
      </w:r>
      <w:r w:rsidRPr="00EF468C">
        <w:rPr>
          <w:lang w:val="en-AU"/>
        </w:rPr>
        <w:t xml:space="preserve"> 79–91. </w:t>
      </w:r>
      <w:proofErr w:type="spellStart"/>
      <w:proofErr w:type="gramStart"/>
      <w:r w:rsidRPr="00EF468C">
        <w:rPr>
          <w:lang w:val="en-AU"/>
        </w:rPr>
        <w:t>doi</w:t>
      </w:r>
      <w:proofErr w:type="spellEnd"/>
      <w:proofErr w:type="gramEnd"/>
      <w:r w:rsidRPr="00EF468C">
        <w:rPr>
          <w:lang w:val="en-AU"/>
        </w:rPr>
        <w:t>: 10.1016/S0005-7967(03)00074-3</w:t>
      </w:r>
    </w:p>
    <w:p w:rsidR="004F0786" w:rsidRPr="00EF468C" w:rsidRDefault="004F0786" w:rsidP="003A41C8">
      <w:pPr>
        <w:autoSpaceDE w:val="0"/>
        <w:autoSpaceDN w:val="0"/>
        <w:adjustRightInd w:val="0"/>
        <w:rPr>
          <w:lang w:val="en-AU"/>
        </w:rPr>
      </w:pPr>
    </w:p>
    <w:p w:rsidR="00EE71AD" w:rsidRPr="00EF468C" w:rsidRDefault="004F0786" w:rsidP="004F0786">
      <w:pPr>
        <w:rPr>
          <w:color w:val="303030"/>
          <w:szCs w:val="26"/>
          <w:shd w:val="clear" w:color="auto" w:fill="FFFFFF"/>
          <w:lang w:val="en-AU" w:eastAsia="en-US"/>
        </w:rPr>
      </w:pPr>
      <w:proofErr w:type="spellStart"/>
      <w:proofErr w:type="gramStart"/>
      <w:r w:rsidRPr="00EF468C">
        <w:rPr>
          <w:color w:val="303030"/>
          <w:szCs w:val="26"/>
          <w:shd w:val="clear" w:color="auto" w:fill="FFFFFF"/>
          <w:lang w:val="en-AU" w:eastAsia="en-US"/>
        </w:rPr>
        <w:t>Roelofs</w:t>
      </w:r>
      <w:proofErr w:type="spellEnd"/>
      <w:r w:rsidRPr="00EF468C">
        <w:rPr>
          <w:color w:val="303030"/>
          <w:szCs w:val="26"/>
          <w:shd w:val="clear" w:color="auto" w:fill="FFFFFF"/>
          <w:lang w:val="en-AU" w:eastAsia="en-US"/>
        </w:rPr>
        <w:t xml:space="preserve">, J., </w:t>
      </w:r>
      <w:proofErr w:type="spellStart"/>
      <w:r w:rsidRPr="00EF468C">
        <w:rPr>
          <w:color w:val="303030"/>
          <w:szCs w:val="26"/>
          <w:shd w:val="clear" w:color="auto" w:fill="FFFFFF"/>
          <w:lang w:val="en-AU" w:eastAsia="en-US"/>
        </w:rPr>
        <w:t>Onckels</w:t>
      </w:r>
      <w:proofErr w:type="spellEnd"/>
      <w:r w:rsidRPr="00EF468C">
        <w:rPr>
          <w:color w:val="303030"/>
          <w:szCs w:val="26"/>
          <w:shd w:val="clear" w:color="auto" w:fill="FFFFFF"/>
          <w:lang w:val="en-AU" w:eastAsia="en-US"/>
        </w:rPr>
        <w:t xml:space="preserve">, L., &amp; </w:t>
      </w:r>
      <w:proofErr w:type="spellStart"/>
      <w:r w:rsidRPr="00EF468C">
        <w:rPr>
          <w:color w:val="303030"/>
          <w:szCs w:val="26"/>
          <w:shd w:val="clear" w:color="auto" w:fill="FFFFFF"/>
          <w:lang w:val="en-AU" w:eastAsia="en-US"/>
        </w:rPr>
        <w:t>Muris</w:t>
      </w:r>
      <w:proofErr w:type="spellEnd"/>
      <w:r w:rsidRPr="00EF468C">
        <w:rPr>
          <w:color w:val="303030"/>
          <w:szCs w:val="26"/>
          <w:shd w:val="clear" w:color="auto" w:fill="FFFFFF"/>
          <w:lang w:val="en-AU" w:eastAsia="en-US"/>
        </w:rPr>
        <w:t>, P. (2013).</w:t>
      </w:r>
      <w:proofErr w:type="gramEnd"/>
      <w:r w:rsidRPr="00EF468C">
        <w:rPr>
          <w:color w:val="303030"/>
          <w:szCs w:val="26"/>
          <w:shd w:val="clear" w:color="auto" w:fill="FFFFFF"/>
          <w:lang w:val="en-AU" w:eastAsia="en-US"/>
        </w:rPr>
        <w:t xml:space="preserve"> Attachment Quality and Psychopathological Symptoms in Clinically Referred Adolescents: The Mediating Role of Early Maladaptive Schema.</w:t>
      </w:r>
      <w:r w:rsidRPr="00EF468C">
        <w:rPr>
          <w:color w:val="303030"/>
          <w:lang w:val="en-AU" w:eastAsia="en-US"/>
        </w:rPr>
        <w:t> </w:t>
      </w:r>
      <w:r w:rsidRPr="00EF468C">
        <w:rPr>
          <w:i/>
          <w:color w:val="303030"/>
          <w:szCs w:val="26"/>
          <w:shd w:val="clear" w:color="auto" w:fill="FFFFFF"/>
          <w:lang w:val="en-AU" w:eastAsia="en-US"/>
        </w:rPr>
        <w:t>Journal of Child and Family Studies</w:t>
      </w:r>
      <w:r w:rsidRPr="00EF468C">
        <w:rPr>
          <w:color w:val="303030"/>
          <w:szCs w:val="26"/>
          <w:shd w:val="clear" w:color="auto" w:fill="FFFFFF"/>
          <w:lang w:val="en-AU" w:eastAsia="en-US"/>
        </w:rPr>
        <w:t>,</w:t>
      </w:r>
      <w:r w:rsidRPr="00EF468C">
        <w:rPr>
          <w:color w:val="303030"/>
          <w:lang w:val="en-AU" w:eastAsia="en-US"/>
        </w:rPr>
        <w:t> </w:t>
      </w:r>
      <w:r w:rsidRPr="00EF468C">
        <w:rPr>
          <w:i/>
          <w:color w:val="303030"/>
          <w:szCs w:val="26"/>
          <w:shd w:val="clear" w:color="auto" w:fill="FFFFFF"/>
          <w:lang w:val="en-AU" w:eastAsia="en-US"/>
        </w:rPr>
        <w:t>22</w:t>
      </w:r>
      <w:r w:rsidRPr="00EF468C">
        <w:rPr>
          <w:color w:val="303030"/>
          <w:szCs w:val="26"/>
          <w:shd w:val="clear" w:color="auto" w:fill="FFFFFF"/>
          <w:lang w:val="en-AU" w:eastAsia="en-US"/>
        </w:rPr>
        <w:t xml:space="preserve">, 377–385. </w:t>
      </w:r>
      <w:proofErr w:type="gramStart"/>
      <w:r w:rsidRPr="00EF468C">
        <w:rPr>
          <w:color w:val="303030"/>
          <w:szCs w:val="26"/>
          <w:shd w:val="clear" w:color="auto" w:fill="FFFFFF"/>
          <w:lang w:val="en-AU" w:eastAsia="en-US"/>
        </w:rPr>
        <w:t>doi:</w:t>
      </w:r>
      <w:proofErr w:type="gramEnd"/>
      <w:r w:rsidRPr="00EF468C">
        <w:rPr>
          <w:color w:val="303030"/>
          <w:szCs w:val="26"/>
          <w:shd w:val="clear" w:color="auto" w:fill="FFFFFF"/>
          <w:lang w:val="en-AU" w:eastAsia="en-US"/>
        </w:rPr>
        <w:t>10.1007/s10826-012-9589-x</w:t>
      </w:r>
    </w:p>
    <w:p w:rsidR="00EE71AD" w:rsidRPr="00EF468C" w:rsidRDefault="00EE71AD" w:rsidP="004F0786">
      <w:pPr>
        <w:rPr>
          <w:color w:val="303030"/>
          <w:szCs w:val="26"/>
          <w:shd w:val="clear" w:color="auto" w:fill="FFFFFF"/>
          <w:lang w:val="en-AU" w:eastAsia="en-US"/>
        </w:rPr>
      </w:pPr>
    </w:p>
    <w:p w:rsidR="00EE71AD" w:rsidRPr="00EF468C" w:rsidRDefault="00EE71AD" w:rsidP="00EE71AD">
      <w:pPr>
        <w:rPr>
          <w:rFonts w:ascii="Times" w:hAnsi="Times"/>
          <w:szCs w:val="20"/>
          <w:lang w:val="en-AU" w:eastAsia="en-US"/>
        </w:rPr>
      </w:pPr>
      <w:proofErr w:type="spellStart"/>
      <w:proofErr w:type="gramStart"/>
      <w:r w:rsidRPr="00EF468C">
        <w:rPr>
          <w:color w:val="000000"/>
          <w:szCs w:val="32"/>
          <w:shd w:val="clear" w:color="auto" w:fill="FFFFFF"/>
          <w:lang w:val="en-AU" w:eastAsia="en-US"/>
        </w:rPr>
        <w:t>Roelofs</w:t>
      </w:r>
      <w:proofErr w:type="spellEnd"/>
      <w:r w:rsidRPr="00EF468C">
        <w:rPr>
          <w:color w:val="000000"/>
          <w:szCs w:val="32"/>
          <w:shd w:val="clear" w:color="auto" w:fill="FFFFFF"/>
          <w:lang w:val="en-AU" w:eastAsia="en-US"/>
        </w:rPr>
        <w:t xml:space="preserve">, J., Lee, C., </w:t>
      </w:r>
      <w:proofErr w:type="spellStart"/>
      <w:r w:rsidRPr="00EF468C">
        <w:rPr>
          <w:color w:val="000000"/>
          <w:szCs w:val="32"/>
          <w:shd w:val="clear" w:color="auto" w:fill="FFFFFF"/>
          <w:lang w:val="en-AU" w:eastAsia="en-US"/>
        </w:rPr>
        <w:t>Ruijten</w:t>
      </w:r>
      <w:proofErr w:type="spellEnd"/>
      <w:r w:rsidRPr="00EF468C">
        <w:rPr>
          <w:color w:val="000000"/>
          <w:szCs w:val="32"/>
          <w:shd w:val="clear" w:color="auto" w:fill="FFFFFF"/>
          <w:lang w:val="en-AU" w:eastAsia="en-US"/>
        </w:rPr>
        <w:t xml:space="preserve">, T., &amp; </w:t>
      </w:r>
      <w:proofErr w:type="spellStart"/>
      <w:r w:rsidRPr="00EF468C">
        <w:rPr>
          <w:color w:val="000000"/>
          <w:szCs w:val="32"/>
          <w:shd w:val="clear" w:color="auto" w:fill="FFFFFF"/>
          <w:lang w:val="en-AU" w:eastAsia="en-US"/>
        </w:rPr>
        <w:t>Lobbestael</w:t>
      </w:r>
      <w:proofErr w:type="spellEnd"/>
      <w:r w:rsidRPr="00EF468C">
        <w:rPr>
          <w:color w:val="000000"/>
          <w:szCs w:val="32"/>
          <w:shd w:val="clear" w:color="auto" w:fill="FFFFFF"/>
          <w:lang w:val="en-AU" w:eastAsia="en-US"/>
        </w:rPr>
        <w:t>, J. (2011).</w:t>
      </w:r>
      <w:proofErr w:type="gramEnd"/>
      <w:r w:rsidRPr="00EF468C">
        <w:rPr>
          <w:color w:val="000000"/>
          <w:szCs w:val="32"/>
          <w:shd w:val="clear" w:color="auto" w:fill="FFFFFF"/>
          <w:lang w:val="en-AU" w:eastAsia="en-US"/>
        </w:rPr>
        <w:t xml:space="preserve"> </w:t>
      </w:r>
      <w:proofErr w:type="gramStart"/>
      <w:r w:rsidRPr="00EF468C">
        <w:rPr>
          <w:color w:val="000000"/>
          <w:szCs w:val="32"/>
          <w:shd w:val="clear" w:color="auto" w:fill="FFFFFF"/>
          <w:lang w:val="en-AU" w:eastAsia="en-US"/>
        </w:rPr>
        <w:t>The mediating role of early maladaptive schemas in the relation between quality of attachment relationships and symptoms of depression in adolescents.</w:t>
      </w:r>
      <w:proofErr w:type="gramEnd"/>
      <w:r w:rsidRPr="00EF468C">
        <w:rPr>
          <w:color w:val="000000"/>
          <w:szCs w:val="32"/>
          <w:shd w:val="clear" w:color="auto" w:fill="FFFFFF"/>
          <w:lang w:val="en-AU" w:eastAsia="en-US"/>
        </w:rPr>
        <w:t xml:space="preserve"> </w:t>
      </w:r>
      <w:r w:rsidRPr="00EF468C">
        <w:rPr>
          <w:i/>
          <w:color w:val="000000"/>
          <w:lang w:val="en-AU" w:eastAsia="en-US"/>
        </w:rPr>
        <w:t>Behavioural and Cognitive Psychotherapy, 39</w:t>
      </w:r>
      <w:r w:rsidRPr="00EF468C">
        <w:rPr>
          <w:i/>
          <w:color w:val="000000"/>
          <w:szCs w:val="32"/>
          <w:shd w:val="clear" w:color="auto" w:fill="FFFFFF"/>
          <w:lang w:val="en-AU" w:eastAsia="en-US"/>
        </w:rPr>
        <w:t>,</w:t>
      </w:r>
      <w:r w:rsidRPr="00EF468C">
        <w:rPr>
          <w:color w:val="000000"/>
          <w:szCs w:val="32"/>
          <w:shd w:val="clear" w:color="auto" w:fill="FFFFFF"/>
          <w:lang w:val="en-AU" w:eastAsia="en-US"/>
        </w:rPr>
        <w:t xml:space="preserve"> 471–479. </w:t>
      </w:r>
      <w:proofErr w:type="spellStart"/>
      <w:proofErr w:type="gramStart"/>
      <w:r w:rsidRPr="00EF468C">
        <w:rPr>
          <w:color w:val="000000"/>
          <w:szCs w:val="32"/>
          <w:shd w:val="clear" w:color="auto" w:fill="FFFFFF"/>
          <w:lang w:val="en-AU" w:eastAsia="en-US"/>
        </w:rPr>
        <w:t>doi</w:t>
      </w:r>
      <w:proofErr w:type="spellEnd"/>
      <w:proofErr w:type="gramEnd"/>
      <w:r w:rsidRPr="00EF468C">
        <w:rPr>
          <w:color w:val="000000"/>
          <w:szCs w:val="32"/>
          <w:shd w:val="clear" w:color="auto" w:fill="FFFFFF"/>
          <w:lang w:val="en-AU" w:eastAsia="en-US"/>
        </w:rPr>
        <w:t>: 10.1017/S1352465811000117.</w:t>
      </w:r>
    </w:p>
    <w:p w:rsidR="004F0786" w:rsidRPr="00EF468C" w:rsidRDefault="004F0786" w:rsidP="004F0786">
      <w:pPr>
        <w:rPr>
          <w:szCs w:val="20"/>
          <w:lang w:val="en-AU" w:eastAsia="en-US"/>
        </w:rPr>
      </w:pP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r w:rsidRPr="00EF468C">
        <w:rPr>
          <w:lang w:val="en-AU"/>
        </w:rPr>
        <w:t xml:space="preserve">Roemer, L., Molina, S., &amp; </w:t>
      </w:r>
      <w:proofErr w:type="spellStart"/>
      <w:r w:rsidRPr="00EF468C">
        <w:rPr>
          <w:lang w:val="en-AU"/>
        </w:rPr>
        <w:t>Borkovec</w:t>
      </w:r>
      <w:proofErr w:type="spellEnd"/>
      <w:r w:rsidRPr="00EF468C">
        <w:rPr>
          <w:lang w:val="en-AU"/>
        </w:rPr>
        <w:t xml:space="preserve">, T. D. (1997). </w:t>
      </w:r>
      <w:proofErr w:type="gramStart"/>
      <w:r w:rsidRPr="00EF468C">
        <w:rPr>
          <w:lang w:val="en-AU"/>
        </w:rPr>
        <w:t>An investigation of worry content among generally anxious individuals.</w:t>
      </w:r>
      <w:proofErr w:type="gramEnd"/>
      <w:r w:rsidRPr="00EF468C">
        <w:rPr>
          <w:lang w:val="en-AU"/>
        </w:rPr>
        <w:t xml:space="preserve"> </w:t>
      </w:r>
      <w:r w:rsidRPr="00EF468C">
        <w:rPr>
          <w:i/>
          <w:lang w:val="en-AU"/>
        </w:rPr>
        <w:t>Journal of Nervous and Mental Disease, 185,</w:t>
      </w:r>
      <w:r w:rsidRPr="00EF468C">
        <w:rPr>
          <w:lang w:val="en-AU"/>
        </w:rPr>
        <w:t xml:space="preserve"> 314–319. </w:t>
      </w:r>
      <w:proofErr w:type="spellStart"/>
      <w:proofErr w:type="gramStart"/>
      <w:r w:rsidRPr="00EF468C">
        <w:rPr>
          <w:lang w:val="en-AU"/>
        </w:rPr>
        <w:t>doi</w:t>
      </w:r>
      <w:proofErr w:type="spellEnd"/>
      <w:proofErr w:type="gramEnd"/>
      <w:r w:rsidRPr="00EF468C">
        <w:rPr>
          <w:lang w:val="en-AU"/>
        </w:rPr>
        <w:t>: 10.1097/00005053-199705000-00005</w:t>
      </w:r>
    </w:p>
    <w:p w:rsidR="003A41C8" w:rsidRPr="00EF468C" w:rsidRDefault="003A41C8" w:rsidP="003A41C8">
      <w:pPr>
        <w:autoSpaceDE w:val="0"/>
        <w:autoSpaceDN w:val="0"/>
        <w:adjustRightInd w:val="0"/>
        <w:rPr>
          <w:lang w:val="en-AU"/>
        </w:rPr>
      </w:pPr>
    </w:p>
    <w:p w:rsidR="003A41C8" w:rsidRPr="00EF468C" w:rsidRDefault="003A41C8" w:rsidP="003A41C8">
      <w:pPr>
        <w:rPr>
          <w:color w:val="000000" w:themeColor="text1"/>
          <w:lang w:val="en-AU"/>
        </w:rPr>
      </w:pPr>
      <w:proofErr w:type="spellStart"/>
      <w:proofErr w:type="gramStart"/>
      <w:r w:rsidRPr="00EF468C">
        <w:rPr>
          <w:lang w:val="en-AU"/>
        </w:rPr>
        <w:t>Sarason</w:t>
      </w:r>
      <w:proofErr w:type="spellEnd"/>
      <w:r w:rsidRPr="00EF468C">
        <w:rPr>
          <w:lang w:val="en-AU"/>
        </w:rPr>
        <w:t xml:space="preserve">, I. G., </w:t>
      </w:r>
      <w:proofErr w:type="spellStart"/>
      <w:r w:rsidRPr="00EF468C">
        <w:rPr>
          <w:lang w:val="en-AU"/>
        </w:rPr>
        <w:t>Sarason</w:t>
      </w:r>
      <w:proofErr w:type="spellEnd"/>
      <w:r w:rsidRPr="00EF468C">
        <w:rPr>
          <w:lang w:val="en-AU"/>
        </w:rPr>
        <w:t xml:space="preserve">, B. R., &amp; </w:t>
      </w:r>
      <w:proofErr w:type="spellStart"/>
      <w:r w:rsidRPr="00EF468C">
        <w:rPr>
          <w:lang w:val="en-AU"/>
        </w:rPr>
        <w:t>Shearin</w:t>
      </w:r>
      <w:proofErr w:type="spellEnd"/>
      <w:r w:rsidRPr="00EF468C">
        <w:rPr>
          <w:lang w:val="en-AU"/>
        </w:rPr>
        <w:t>, E. N. (1986).</w:t>
      </w:r>
      <w:proofErr w:type="gramEnd"/>
      <w:r w:rsidRPr="00EF468C">
        <w:rPr>
          <w:lang w:val="en-AU"/>
        </w:rPr>
        <w:t xml:space="preserve"> Social support as an </w:t>
      </w:r>
      <w:r w:rsidR="00853217" w:rsidRPr="00EF468C">
        <w:rPr>
          <w:lang w:val="en-AU"/>
        </w:rPr>
        <w:t>individual</w:t>
      </w:r>
      <w:r w:rsidR="00950102" w:rsidRPr="00EF468C">
        <w:rPr>
          <w:lang w:val="en-AU"/>
        </w:rPr>
        <w:t xml:space="preserve"> </w:t>
      </w:r>
      <w:r w:rsidRPr="00EF468C">
        <w:rPr>
          <w:lang w:val="en-AU"/>
        </w:rPr>
        <w:t xml:space="preserve">difference variable: Its stability, origins and relational aspects. </w:t>
      </w:r>
      <w:r w:rsidRPr="00EF468C">
        <w:rPr>
          <w:i/>
          <w:lang w:val="en-AU"/>
        </w:rPr>
        <w:t>Social Psychology, 50,</w:t>
      </w:r>
      <w:r w:rsidRPr="00EF468C">
        <w:rPr>
          <w:lang w:val="en-AU"/>
        </w:rPr>
        <w:t xml:space="preserve"> 845-855.</w:t>
      </w:r>
      <w:r w:rsidR="00466E8B" w:rsidRPr="00EF468C">
        <w:rPr>
          <w:lang w:val="en-AU"/>
        </w:rPr>
        <w:t xml:space="preserve"> </w:t>
      </w:r>
      <w:proofErr w:type="spellStart"/>
      <w:proofErr w:type="gramStart"/>
      <w:r w:rsidR="00466E8B" w:rsidRPr="00EF468C">
        <w:rPr>
          <w:rFonts w:cs="Arial"/>
          <w:bCs/>
          <w:color w:val="575757"/>
          <w:szCs w:val="26"/>
          <w:lang w:val="en-AU" w:eastAsia="en-US"/>
        </w:rPr>
        <w:t>doi</w:t>
      </w:r>
      <w:proofErr w:type="spellEnd"/>
      <w:proofErr w:type="gramEnd"/>
      <w:r w:rsidR="00466E8B" w:rsidRPr="00EF468C">
        <w:rPr>
          <w:rFonts w:cs="Arial"/>
          <w:color w:val="424242"/>
          <w:szCs w:val="26"/>
          <w:lang w:val="en-AU" w:eastAsia="en-US"/>
        </w:rPr>
        <w:t>: 10.1037/0022-3514.50.4.845.</w:t>
      </w:r>
    </w:p>
    <w:p w:rsidR="003A41C8" w:rsidRPr="00EF468C" w:rsidRDefault="003A41C8" w:rsidP="003A41C8">
      <w:pPr>
        <w:rPr>
          <w:lang w:val="en-AU"/>
        </w:rPr>
      </w:pPr>
    </w:p>
    <w:p w:rsidR="004A5858" w:rsidRPr="00EF468C" w:rsidRDefault="003A41C8" w:rsidP="003A41C8">
      <w:pPr>
        <w:autoSpaceDE w:val="0"/>
        <w:autoSpaceDN w:val="0"/>
        <w:adjustRightInd w:val="0"/>
        <w:rPr>
          <w:lang w:val="en-AU"/>
        </w:rPr>
      </w:pPr>
      <w:proofErr w:type="spellStart"/>
      <w:proofErr w:type="gramStart"/>
      <w:r w:rsidRPr="00EF468C">
        <w:rPr>
          <w:lang w:val="en-AU"/>
        </w:rPr>
        <w:t>Scher</w:t>
      </w:r>
      <w:proofErr w:type="spellEnd"/>
      <w:r w:rsidRPr="00EF468C">
        <w:rPr>
          <w:lang w:val="en-AU"/>
        </w:rPr>
        <w:t>, C. D., &amp; Stein, M. B. (2003).</w:t>
      </w:r>
      <w:proofErr w:type="gramEnd"/>
      <w:r w:rsidRPr="00EF468C">
        <w:rPr>
          <w:lang w:val="en-AU"/>
        </w:rPr>
        <w:t xml:space="preserve"> </w:t>
      </w:r>
      <w:proofErr w:type="gramStart"/>
      <w:r w:rsidRPr="00EF468C">
        <w:rPr>
          <w:lang w:val="en-AU"/>
        </w:rPr>
        <w:t>Developmental antecedents of anxiety sensitivity.</w:t>
      </w:r>
      <w:proofErr w:type="gramEnd"/>
      <w:r w:rsidRPr="00EF468C">
        <w:rPr>
          <w:lang w:val="en-AU"/>
        </w:rPr>
        <w:t xml:space="preserve"> </w:t>
      </w:r>
      <w:r w:rsidRPr="00EF468C">
        <w:rPr>
          <w:i/>
          <w:lang w:val="en-AU"/>
        </w:rPr>
        <w:t>Journal of Anxiety Disorders, 17,</w:t>
      </w:r>
      <w:r w:rsidRPr="00EF468C">
        <w:rPr>
          <w:lang w:val="en-AU"/>
        </w:rPr>
        <w:t xml:space="preserve"> 253–269. </w:t>
      </w:r>
      <w:proofErr w:type="spellStart"/>
      <w:proofErr w:type="gramStart"/>
      <w:r w:rsidRPr="00EF468C">
        <w:rPr>
          <w:lang w:val="en-AU"/>
        </w:rPr>
        <w:t>doi</w:t>
      </w:r>
      <w:proofErr w:type="spellEnd"/>
      <w:proofErr w:type="gramEnd"/>
      <w:r w:rsidRPr="00EF468C">
        <w:rPr>
          <w:lang w:val="en-AU"/>
        </w:rPr>
        <w:t>: 10.1016/S0887-6185(02)00202-5</w:t>
      </w:r>
    </w:p>
    <w:p w:rsidR="004A5858" w:rsidRPr="00EF468C" w:rsidRDefault="004A5858" w:rsidP="003A41C8">
      <w:pPr>
        <w:autoSpaceDE w:val="0"/>
        <w:autoSpaceDN w:val="0"/>
        <w:adjustRightInd w:val="0"/>
        <w:rPr>
          <w:lang w:val="en-AU"/>
        </w:rPr>
      </w:pPr>
    </w:p>
    <w:p w:rsidR="004A5858" w:rsidRPr="00EF468C" w:rsidRDefault="004A5858" w:rsidP="004A5858">
      <w:pPr>
        <w:rPr>
          <w:sz w:val="20"/>
          <w:szCs w:val="20"/>
          <w:lang w:val="en-AU" w:eastAsia="en-US"/>
        </w:rPr>
      </w:pPr>
      <w:proofErr w:type="gramStart"/>
      <w:r w:rsidRPr="00EF468C">
        <w:rPr>
          <w:color w:val="000000"/>
          <w:shd w:val="clear" w:color="auto" w:fill="FFFFFF"/>
          <w:lang w:val="en-AU" w:eastAsia="en-US"/>
        </w:rPr>
        <w:t xml:space="preserve">Simard, V., Moss, E. and </w:t>
      </w:r>
      <w:proofErr w:type="spellStart"/>
      <w:r w:rsidRPr="00EF468C">
        <w:rPr>
          <w:color w:val="000000"/>
          <w:shd w:val="clear" w:color="auto" w:fill="FFFFFF"/>
          <w:lang w:val="en-AU" w:eastAsia="en-US"/>
        </w:rPr>
        <w:t>Pascuzzo</w:t>
      </w:r>
      <w:proofErr w:type="spellEnd"/>
      <w:r w:rsidRPr="00EF468C">
        <w:rPr>
          <w:color w:val="000000"/>
          <w:shd w:val="clear" w:color="auto" w:fill="FFFFFF"/>
          <w:lang w:val="en-AU" w:eastAsia="en-US"/>
        </w:rPr>
        <w:t>, K. (2011).</w:t>
      </w:r>
      <w:proofErr w:type="gramEnd"/>
      <w:r w:rsidRPr="00EF468C">
        <w:rPr>
          <w:color w:val="000000"/>
          <w:shd w:val="clear" w:color="auto" w:fill="FFFFFF"/>
          <w:lang w:val="en-AU" w:eastAsia="en-US"/>
        </w:rPr>
        <w:t xml:space="preserve"> Early maladaptive schemas and child and adult attachment: A 15-year longitudinal study. </w:t>
      </w:r>
      <w:r w:rsidRPr="00EF468C">
        <w:rPr>
          <w:i/>
          <w:color w:val="000000"/>
          <w:shd w:val="clear" w:color="auto" w:fill="FFFFFF"/>
          <w:lang w:val="en-AU" w:eastAsia="en-US"/>
        </w:rPr>
        <w:t>Psychology and Psychotherapy: Theory, Research, and Practice, 84</w:t>
      </w:r>
      <w:r w:rsidRPr="00EF468C">
        <w:rPr>
          <w:color w:val="000000"/>
          <w:shd w:val="clear" w:color="auto" w:fill="FFFFFF"/>
          <w:lang w:val="en-AU" w:eastAsia="en-US"/>
        </w:rPr>
        <w:t xml:space="preserve">, 349–366. </w:t>
      </w:r>
      <w:proofErr w:type="spellStart"/>
      <w:proofErr w:type="gramStart"/>
      <w:r w:rsidRPr="00EF468C">
        <w:rPr>
          <w:color w:val="000000"/>
          <w:shd w:val="clear" w:color="auto" w:fill="FFFFFF"/>
          <w:lang w:val="en-AU" w:eastAsia="en-US"/>
        </w:rPr>
        <w:t>doi</w:t>
      </w:r>
      <w:proofErr w:type="spellEnd"/>
      <w:proofErr w:type="gramEnd"/>
      <w:r w:rsidRPr="00EF468C">
        <w:rPr>
          <w:color w:val="000000"/>
          <w:shd w:val="clear" w:color="auto" w:fill="FFFFFF"/>
          <w:lang w:val="en-AU" w:eastAsia="en-US"/>
        </w:rPr>
        <w:t>: 10.1111/j.2044-8341.2010.02009.x</w:t>
      </w:r>
    </w:p>
    <w:p w:rsidR="003A41C8" w:rsidRPr="00EF468C" w:rsidRDefault="003A41C8" w:rsidP="003A41C8">
      <w:pPr>
        <w:autoSpaceDE w:val="0"/>
        <w:autoSpaceDN w:val="0"/>
        <w:adjustRightInd w:val="0"/>
        <w:rPr>
          <w:lang w:val="en-AU"/>
        </w:rPr>
      </w:pPr>
    </w:p>
    <w:p w:rsidR="003A41C8" w:rsidRPr="00EF468C" w:rsidRDefault="003A41C8" w:rsidP="003A41C8">
      <w:pPr>
        <w:rPr>
          <w:lang w:val="en-AU"/>
        </w:rPr>
      </w:pPr>
    </w:p>
    <w:p w:rsidR="003A41C8" w:rsidRPr="00EF468C" w:rsidRDefault="003A41C8" w:rsidP="003A41C8">
      <w:pPr>
        <w:rPr>
          <w:lang w:val="en-AU"/>
        </w:rPr>
      </w:pPr>
      <w:proofErr w:type="gramStart"/>
      <w:r w:rsidRPr="00EF468C">
        <w:rPr>
          <w:lang w:val="en-AU"/>
        </w:rPr>
        <w:t xml:space="preserve">Slater, J., &amp; </w:t>
      </w:r>
      <w:proofErr w:type="spellStart"/>
      <w:r w:rsidRPr="00EF468C">
        <w:rPr>
          <w:lang w:val="en-AU"/>
        </w:rPr>
        <w:t>Depue</w:t>
      </w:r>
      <w:proofErr w:type="spellEnd"/>
      <w:r w:rsidRPr="00EF468C">
        <w:rPr>
          <w:lang w:val="en-AU"/>
        </w:rPr>
        <w:t>, R. A. (1981).</w:t>
      </w:r>
      <w:proofErr w:type="gramEnd"/>
      <w:r w:rsidRPr="00EF468C">
        <w:rPr>
          <w:lang w:val="en-AU"/>
        </w:rPr>
        <w:t xml:space="preserve"> The contribution of environmental events and </w:t>
      </w:r>
      <w:r w:rsidR="00853217" w:rsidRPr="00EF468C">
        <w:rPr>
          <w:lang w:val="en-AU"/>
        </w:rPr>
        <w:t>social</w:t>
      </w:r>
      <w:r w:rsidRPr="00EF468C">
        <w:rPr>
          <w:lang w:val="en-AU"/>
        </w:rPr>
        <w:t xml:space="preserve"> support to serious suicide attempts in primary depressive disorder. </w:t>
      </w:r>
      <w:r w:rsidRPr="00EF468C">
        <w:rPr>
          <w:i/>
          <w:lang w:val="en-AU"/>
        </w:rPr>
        <w:t>Journal of Abnormal Psychology, 90,</w:t>
      </w:r>
      <w:r w:rsidRPr="00EF468C">
        <w:rPr>
          <w:lang w:val="en-AU"/>
        </w:rPr>
        <w:t xml:space="preserve"> 275-285. </w:t>
      </w:r>
      <w:proofErr w:type="spellStart"/>
      <w:proofErr w:type="gramStart"/>
      <w:r w:rsidRPr="00EF468C">
        <w:rPr>
          <w:lang w:val="en-AU"/>
        </w:rPr>
        <w:t>doi</w:t>
      </w:r>
      <w:proofErr w:type="spellEnd"/>
      <w:proofErr w:type="gramEnd"/>
      <w:r w:rsidRPr="00EF468C">
        <w:rPr>
          <w:lang w:val="en-AU"/>
        </w:rPr>
        <w:t>: 10.1037//0021-843X.90.4.275</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spellStart"/>
      <w:r w:rsidRPr="00EF468C">
        <w:rPr>
          <w:lang w:val="en-AU"/>
        </w:rPr>
        <w:t>Sroufe</w:t>
      </w:r>
      <w:proofErr w:type="spellEnd"/>
      <w:r w:rsidRPr="00EF468C">
        <w:rPr>
          <w:lang w:val="en-AU"/>
        </w:rPr>
        <w:t xml:space="preserve">, L. A., Duggal, S., </w:t>
      </w:r>
      <w:proofErr w:type="spellStart"/>
      <w:r w:rsidRPr="00EF468C">
        <w:rPr>
          <w:lang w:val="en-AU"/>
        </w:rPr>
        <w:t>Weinfield</w:t>
      </w:r>
      <w:proofErr w:type="spellEnd"/>
      <w:r w:rsidRPr="00EF468C">
        <w:rPr>
          <w:lang w:val="en-AU"/>
        </w:rPr>
        <w:t xml:space="preserve">, N., &amp; Carlson, E. (2002). </w:t>
      </w:r>
      <w:proofErr w:type="gramStart"/>
      <w:r w:rsidRPr="00EF468C">
        <w:rPr>
          <w:lang w:val="en-AU"/>
        </w:rPr>
        <w:t>Relationships, development, and psychopathology.</w:t>
      </w:r>
      <w:proofErr w:type="gramEnd"/>
      <w:r w:rsidRPr="00EF468C">
        <w:rPr>
          <w:lang w:val="en-AU"/>
        </w:rPr>
        <w:t xml:space="preserve"> </w:t>
      </w:r>
      <w:proofErr w:type="gramStart"/>
      <w:r w:rsidRPr="00EF468C">
        <w:rPr>
          <w:lang w:val="en-AU"/>
        </w:rPr>
        <w:t xml:space="preserve">In A. J. Sameroff, M. Lewis, &amp; S. M. Miller (Eds.), </w:t>
      </w:r>
      <w:r w:rsidRPr="00EF468C">
        <w:rPr>
          <w:i/>
          <w:lang w:val="en-AU"/>
        </w:rPr>
        <w:t xml:space="preserve">Handbook of </w:t>
      </w:r>
      <w:r w:rsidRPr="00EF468C">
        <w:rPr>
          <w:i/>
          <w:lang w:val="en-AU"/>
        </w:rPr>
        <w:lastRenderedPageBreak/>
        <w:t xml:space="preserve">developmental psychopathology </w:t>
      </w:r>
      <w:r w:rsidRPr="00EF468C">
        <w:rPr>
          <w:lang w:val="en-AU"/>
        </w:rPr>
        <w:t>(2nd ed., pp. 75–91).</w:t>
      </w:r>
      <w:proofErr w:type="gramEnd"/>
      <w:r w:rsidRPr="00EF468C">
        <w:rPr>
          <w:lang w:val="en-AU"/>
        </w:rPr>
        <w:t xml:space="preserve"> New York: Kluwer Academic/Plenum Publishers.</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r w:rsidRPr="00EF468C">
        <w:rPr>
          <w:lang w:val="en-AU"/>
        </w:rPr>
        <w:t xml:space="preserve">Taylor, S. (Ed.). (1999). </w:t>
      </w:r>
      <w:r w:rsidRPr="00EF468C">
        <w:rPr>
          <w:i/>
          <w:lang w:val="en-AU"/>
        </w:rPr>
        <w:t>Anxiety Sensitivity: Theory, research, and treatment of the fear of anxiety.</w:t>
      </w:r>
      <w:r w:rsidRPr="00EF468C">
        <w:rPr>
          <w:lang w:val="en-AU"/>
        </w:rPr>
        <w:t xml:space="preserve"> Mahwah, NJ: Erlbaum.</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spellStart"/>
      <w:proofErr w:type="gramStart"/>
      <w:r w:rsidRPr="00EF468C">
        <w:rPr>
          <w:lang w:val="en-AU"/>
        </w:rPr>
        <w:t>Viana</w:t>
      </w:r>
      <w:proofErr w:type="spellEnd"/>
      <w:r w:rsidRPr="00EF468C">
        <w:rPr>
          <w:lang w:val="en-AU"/>
        </w:rPr>
        <w:t xml:space="preserve">, A. G., &amp; </w:t>
      </w:r>
      <w:proofErr w:type="spellStart"/>
      <w:r w:rsidRPr="00EF468C">
        <w:rPr>
          <w:lang w:val="en-AU"/>
        </w:rPr>
        <w:t>Rabian</w:t>
      </w:r>
      <w:proofErr w:type="spellEnd"/>
      <w:r w:rsidRPr="00EF468C">
        <w:rPr>
          <w:lang w:val="en-AU"/>
        </w:rPr>
        <w:t>, B. (2008).</w:t>
      </w:r>
      <w:proofErr w:type="gramEnd"/>
      <w:r w:rsidRPr="00EF468C">
        <w:rPr>
          <w:lang w:val="en-AU"/>
        </w:rPr>
        <w:t xml:space="preserve"> Perceived attachment: relations to anxiety sensitivity, worry, and GAD symptoms. </w:t>
      </w:r>
      <w:r w:rsidRPr="00EF468C">
        <w:rPr>
          <w:i/>
          <w:lang w:val="en-AU"/>
        </w:rPr>
        <w:t>Behaviour Research and Therapy, 46,</w:t>
      </w:r>
      <w:r w:rsidRPr="00EF468C">
        <w:rPr>
          <w:lang w:val="en-AU"/>
        </w:rPr>
        <w:t xml:space="preserve"> 737–747. </w:t>
      </w:r>
      <w:proofErr w:type="spellStart"/>
      <w:proofErr w:type="gramStart"/>
      <w:r w:rsidRPr="00EF468C">
        <w:rPr>
          <w:lang w:val="en-AU"/>
        </w:rPr>
        <w:t>doi</w:t>
      </w:r>
      <w:proofErr w:type="spellEnd"/>
      <w:proofErr w:type="gramEnd"/>
      <w:r w:rsidRPr="00EF468C">
        <w:rPr>
          <w:lang w:val="en-AU"/>
        </w:rPr>
        <w:t>: 10.1016/j.brat.2008.03.002</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i/>
          <w:lang w:val="en-AU"/>
        </w:rPr>
      </w:pPr>
      <w:proofErr w:type="gramStart"/>
      <w:r w:rsidRPr="00EF468C">
        <w:rPr>
          <w:lang w:val="en-AU"/>
        </w:rPr>
        <w:t>Watt, M. C., McWilliams, L. A., &amp; Campbell, A. G. (2005).</w:t>
      </w:r>
      <w:proofErr w:type="gramEnd"/>
      <w:r w:rsidRPr="00EF468C">
        <w:rPr>
          <w:lang w:val="en-AU"/>
        </w:rPr>
        <w:t xml:space="preserve"> Relations between anxiety sensitivity and attachment style dimensions. </w:t>
      </w:r>
      <w:r w:rsidRPr="00EF468C">
        <w:rPr>
          <w:i/>
          <w:lang w:val="en-AU"/>
        </w:rPr>
        <w:t>Journal of Psychopathology</w:t>
      </w:r>
    </w:p>
    <w:p w:rsidR="003A41C8" w:rsidRPr="00EF468C" w:rsidRDefault="003A41C8" w:rsidP="003A41C8">
      <w:pPr>
        <w:autoSpaceDE w:val="0"/>
        <w:autoSpaceDN w:val="0"/>
        <w:adjustRightInd w:val="0"/>
        <w:rPr>
          <w:lang w:val="en-AU"/>
        </w:rPr>
      </w:pPr>
      <w:proofErr w:type="gramStart"/>
      <w:r w:rsidRPr="00EF468C">
        <w:rPr>
          <w:i/>
          <w:lang w:val="en-AU"/>
        </w:rPr>
        <w:t>and</w:t>
      </w:r>
      <w:proofErr w:type="gramEnd"/>
      <w:r w:rsidRPr="00EF468C">
        <w:rPr>
          <w:i/>
          <w:lang w:val="en-AU"/>
        </w:rPr>
        <w:t xml:space="preserve"> </w:t>
      </w:r>
      <w:proofErr w:type="spellStart"/>
      <w:r w:rsidRPr="00EF468C">
        <w:rPr>
          <w:i/>
          <w:lang w:val="en-AU"/>
        </w:rPr>
        <w:t>Behavioral</w:t>
      </w:r>
      <w:proofErr w:type="spellEnd"/>
      <w:r w:rsidRPr="00EF468C">
        <w:rPr>
          <w:i/>
          <w:lang w:val="en-AU"/>
        </w:rPr>
        <w:t xml:space="preserve"> Assessment, 27,</w:t>
      </w:r>
      <w:r w:rsidRPr="00EF468C">
        <w:rPr>
          <w:lang w:val="en-AU"/>
        </w:rPr>
        <w:t xml:space="preserve"> 191–200. </w:t>
      </w:r>
      <w:proofErr w:type="spellStart"/>
      <w:proofErr w:type="gramStart"/>
      <w:r w:rsidRPr="00EF468C">
        <w:rPr>
          <w:lang w:val="en-AU"/>
        </w:rPr>
        <w:t>doi</w:t>
      </w:r>
      <w:proofErr w:type="spellEnd"/>
      <w:proofErr w:type="gramEnd"/>
      <w:r w:rsidRPr="00EF468C">
        <w:rPr>
          <w:lang w:val="en-AU"/>
        </w:rPr>
        <w:t>: 10.1007/s10862-005-0635-5</w:t>
      </w:r>
    </w:p>
    <w:p w:rsidR="003A41C8" w:rsidRPr="00EF468C" w:rsidRDefault="003A41C8" w:rsidP="003A41C8">
      <w:pPr>
        <w:autoSpaceDE w:val="0"/>
        <w:autoSpaceDN w:val="0"/>
        <w:adjustRightInd w:val="0"/>
        <w:rPr>
          <w:lang w:val="en-AU"/>
        </w:rPr>
      </w:pPr>
    </w:p>
    <w:p w:rsidR="003A41C8" w:rsidRPr="00EF468C" w:rsidRDefault="003A41C8" w:rsidP="003A41C8">
      <w:pPr>
        <w:autoSpaceDE w:val="0"/>
        <w:autoSpaceDN w:val="0"/>
        <w:adjustRightInd w:val="0"/>
        <w:rPr>
          <w:lang w:val="en-AU"/>
        </w:rPr>
      </w:pPr>
      <w:proofErr w:type="gramStart"/>
      <w:r w:rsidRPr="00EF468C">
        <w:rPr>
          <w:lang w:val="en-AU"/>
        </w:rPr>
        <w:t>Watt, M. C., Stewart, S. H., &amp; Cox, B. J. (1998).</w:t>
      </w:r>
      <w:proofErr w:type="gramEnd"/>
      <w:r w:rsidRPr="00EF468C">
        <w:rPr>
          <w:lang w:val="en-AU"/>
        </w:rPr>
        <w:t xml:space="preserve"> </w:t>
      </w:r>
      <w:proofErr w:type="gramStart"/>
      <w:r w:rsidRPr="00EF468C">
        <w:rPr>
          <w:lang w:val="en-AU"/>
        </w:rPr>
        <w:t>A retrospective study of the origins of anxiety sensitivity.</w:t>
      </w:r>
      <w:proofErr w:type="gramEnd"/>
      <w:r w:rsidRPr="00EF468C">
        <w:rPr>
          <w:lang w:val="en-AU"/>
        </w:rPr>
        <w:t xml:space="preserve"> </w:t>
      </w:r>
      <w:r w:rsidRPr="00EF468C">
        <w:rPr>
          <w:i/>
          <w:lang w:val="en-AU"/>
        </w:rPr>
        <w:t>Behaviour Research and Therapy, 36,</w:t>
      </w:r>
      <w:r w:rsidRPr="00EF468C">
        <w:rPr>
          <w:lang w:val="en-AU"/>
        </w:rPr>
        <w:t xml:space="preserve"> 505–525.</w:t>
      </w:r>
      <w:r w:rsidR="00B60808" w:rsidRPr="00EF468C">
        <w:rPr>
          <w:lang w:val="en-AU"/>
        </w:rPr>
        <w:t xml:space="preserve"> </w:t>
      </w:r>
      <w:proofErr w:type="spellStart"/>
      <w:proofErr w:type="gramStart"/>
      <w:r w:rsidR="00B60808" w:rsidRPr="00EF468C">
        <w:rPr>
          <w:lang w:val="en-AU"/>
        </w:rPr>
        <w:t>doi</w:t>
      </w:r>
      <w:proofErr w:type="spellEnd"/>
      <w:proofErr w:type="gramEnd"/>
      <w:r w:rsidR="00B60808" w:rsidRPr="00EF468C">
        <w:rPr>
          <w:lang w:val="en-AU"/>
        </w:rPr>
        <w:t>: 10.1016/S0005-7967(97)10029-8</w:t>
      </w:r>
    </w:p>
    <w:p w:rsidR="003A41C8" w:rsidRPr="00EF468C" w:rsidRDefault="003A41C8" w:rsidP="003A41C8">
      <w:pPr>
        <w:autoSpaceDE w:val="0"/>
        <w:autoSpaceDN w:val="0"/>
        <w:adjustRightInd w:val="0"/>
        <w:rPr>
          <w:lang w:val="en-AU"/>
        </w:rPr>
      </w:pPr>
    </w:p>
    <w:p w:rsidR="00825473" w:rsidRPr="00EF468C" w:rsidRDefault="003A41C8" w:rsidP="003A41C8">
      <w:pPr>
        <w:autoSpaceDE w:val="0"/>
        <w:autoSpaceDN w:val="0"/>
        <w:adjustRightInd w:val="0"/>
        <w:rPr>
          <w:color w:val="000000" w:themeColor="text1"/>
          <w:lang w:val="en-AU"/>
        </w:rPr>
      </w:pPr>
      <w:proofErr w:type="gramStart"/>
      <w:r w:rsidRPr="00EF468C">
        <w:rPr>
          <w:lang w:val="en-AU"/>
        </w:rPr>
        <w:t>Weems, C. F., Berman, S. L., Silverman, W. K., &amp; Rodriguez, E. T. (2002).</w:t>
      </w:r>
      <w:proofErr w:type="gramEnd"/>
      <w:r w:rsidRPr="00EF468C">
        <w:rPr>
          <w:lang w:val="en-AU"/>
        </w:rPr>
        <w:t xml:space="preserve"> </w:t>
      </w:r>
      <w:proofErr w:type="gramStart"/>
      <w:r w:rsidRPr="00EF468C">
        <w:rPr>
          <w:lang w:val="en-AU"/>
        </w:rPr>
        <w:t>The relation between AS and attachment style in adolescence and early adulthood</w:t>
      </w:r>
      <w:r w:rsidRPr="00EF468C">
        <w:rPr>
          <w:i/>
          <w:lang w:val="en-AU"/>
        </w:rPr>
        <w:t>.</w:t>
      </w:r>
      <w:proofErr w:type="gramEnd"/>
      <w:r w:rsidRPr="00EF468C">
        <w:rPr>
          <w:i/>
          <w:lang w:val="en-AU"/>
        </w:rPr>
        <w:t xml:space="preserve"> Journal of Psychopathology and </w:t>
      </w:r>
      <w:proofErr w:type="spellStart"/>
      <w:r w:rsidRPr="00EF468C">
        <w:rPr>
          <w:i/>
          <w:lang w:val="en-AU"/>
        </w:rPr>
        <w:t>Behavioral</w:t>
      </w:r>
      <w:proofErr w:type="spellEnd"/>
      <w:r w:rsidRPr="00EF468C">
        <w:rPr>
          <w:i/>
          <w:lang w:val="en-AU"/>
        </w:rPr>
        <w:t xml:space="preserve"> Assessment, 24, </w:t>
      </w:r>
      <w:r w:rsidR="00994601" w:rsidRPr="00EF468C">
        <w:rPr>
          <w:lang w:val="en-AU"/>
        </w:rPr>
        <w:t>159–168.</w:t>
      </w:r>
      <w:r w:rsidR="00B60808" w:rsidRPr="00EF468C">
        <w:rPr>
          <w:lang w:val="en-AU"/>
        </w:rPr>
        <w:t xml:space="preserve"> </w:t>
      </w:r>
      <w:proofErr w:type="spellStart"/>
      <w:proofErr w:type="gramStart"/>
      <w:r w:rsidR="00660E94" w:rsidRPr="00EF468C">
        <w:rPr>
          <w:color w:val="000000" w:themeColor="text1"/>
          <w:lang w:val="en-AU"/>
        </w:rPr>
        <w:t>doi</w:t>
      </w:r>
      <w:proofErr w:type="spellEnd"/>
      <w:proofErr w:type="gramEnd"/>
      <w:r w:rsidR="00660E94" w:rsidRPr="00EF468C">
        <w:rPr>
          <w:color w:val="000000" w:themeColor="text1"/>
          <w:lang w:val="en-AU"/>
        </w:rPr>
        <w:t xml:space="preserve">: </w:t>
      </w:r>
      <w:r w:rsidR="00E66F3E" w:rsidRPr="00EF468C">
        <w:rPr>
          <w:rFonts w:cs="Helvetica Neue"/>
          <w:color w:val="000000" w:themeColor="text1"/>
          <w:szCs w:val="26"/>
          <w:lang w:val="en-AU" w:eastAsia="en-US"/>
        </w:rPr>
        <w:t>10.1023/A:1016058600416</w:t>
      </w: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9C40D7" w:rsidRPr="00EF468C" w:rsidRDefault="009C40D7" w:rsidP="003A41C8">
      <w:pPr>
        <w:autoSpaceDE w:val="0"/>
        <w:autoSpaceDN w:val="0"/>
        <w:adjustRightInd w:val="0"/>
        <w:rPr>
          <w:lang w:val="en-AU"/>
        </w:rPr>
      </w:pPr>
    </w:p>
    <w:p w:rsidR="004A11DF" w:rsidRPr="00EF468C" w:rsidRDefault="004A11DF" w:rsidP="004A11DF">
      <w:pPr>
        <w:jc w:val="center"/>
        <w:outlineLvl w:val="0"/>
        <w:rPr>
          <w:lang w:val="en-AU"/>
        </w:rPr>
      </w:pPr>
      <w:r w:rsidRPr="00EF468C">
        <w:rPr>
          <w:lang w:val="en-AU"/>
        </w:rPr>
        <w:t>Table1</w:t>
      </w:r>
    </w:p>
    <w:p w:rsidR="004A11DF" w:rsidRPr="00EF468C" w:rsidRDefault="004A11DF" w:rsidP="004A11DF">
      <w:pPr>
        <w:jc w:val="center"/>
        <w:outlineLvl w:val="0"/>
        <w:rPr>
          <w:lang w:val="en-AU"/>
        </w:rPr>
      </w:pPr>
      <w:r w:rsidRPr="00EF468C">
        <w:rPr>
          <w:lang w:val="en-AU"/>
        </w:rPr>
        <w:t>Demographic and relevant clinical features of the study sample</w:t>
      </w:r>
      <w:r w:rsidR="007C6EFE" w:rsidRPr="00EF468C">
        <w:rPr>
          <w:lang w:val="en-AU"/>
        </w:rPr>
        <w:t xml:space="preserve"> (</w:t>
      </w:r>
      <w:r w:rsidR="007C6EFE" w:rsidRPr="00EF468C">
        <w:rPr>
          <w:i/>
          <w:lang w:val="en-AU"/>
        </w:rPr>
        <w:t>N</w:t>
      </w:r>
      <w:r w:rsidR="007C6EFE" w:rsidRPr="00EF468C">
        <w:rPr>
          <w:lang w:val="en-AU"/>
        </w:rPr>
        <w:t xml:space="preserve"> = 72)</w:t>
      </w:r>
    </w:p>
    <w:p w:rsidR="007C6EFE" w:rsidRPr="00EF468C" w:rsidRDefault="007C6EFE" w:rsidP="004A11DF">
      <w:pPr>
        <w:jc w:val="center"/>
        <w:outlineLvl w:val="0"/>
        <w:rPr>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1696"/>
        <w:gridCol w:w="1462"/>
      </w:tblGrid>
      <w:tr w:rsidR="005C27C0" w:rsidRPr="00EF468C" w:rsidTr="007C6EFE">
        <w:trPr>
          <w:jc w:val="center"/>
        </w:trPr>
        <w:tc>
          <w:tcPr>
            <w:tcW w:w="3598" w:type="dxa"/>
            <w:tcBorders>
              <w:top w:val="single" w:sz="4" w:space="0" w:color="auto"/>
              <w:bottom w:val="single" w:sz="4" w:space="0" w:color="auto"/>
            </w:tcBorders>
            <w:vAlign w:val="center"/>
          </w:tcPr>
          <w:p w:rsidR="005C27C0" w:rsidRPr="00EF468C" w:rsidRDefault="005C27C0" w:rsidP="00097F2A">
            <w:pPr>
              <w:rPr>
                <w:lang w:val="en-AU"/>
              </w:rPr>
            </w:pPr>
            <w:r w:rsidRPr="00EF468C">
              <w:rPr>
                <w:lang w:val="en-AU"/>
              </w:rPr>
              <w:t>Age</w:t>
            </w:r>
          </w:p>
        </w:tc>
        <w:tc>
          <w:tcPr>
            <w:tcW w:w="1696" w:type="dxa"/>
            <w:tcBorders>
              <w:top w:val="single" w:sz="4" w:space="0" w:color="auto"/>
              <w:bottom w:val="single" w:sz="4" w:space="0" w:color="auto"/>
            </w:tcBorders>
            <w:vAlign w:val="center"/>
          </w:tcPr>
          <w:p w:rsidR="005C27C0" w:rsidRPr="00EF468C" w:rsidRDefault="005C27C0" w:rsidP="005C27C0">
            <w:pPr>
              <w:jc w:val="center"/>
              <w:rPr>
                <w:lang w:val="en-AU"/>
              </w:rPr>
            </w:pPr>
            <w:r w:rsidRPr="00EF468C">
              <w:rPr>
                <w:i/>
                <w:lang w:val="en-AU"/>
              </w:rPr>
              <w:t>M</w:t>
            </w:r>
            <w:r w:rsidRPr="00EF468C">
              <w:rPr>
                <w:lang w:val="en-AU"/>
              </w:rPr>
              <w:t xml:space="preserve"> (</w:t>
            </w:r>
            <w:r w:rsidRPr="00EF468C">
              <w:rPr>
                <w:i/>
                <w:lang w:val="en-AU"/>
              </w:rPr>
              <w:t>SD</w:t>
            </w:r>
            <w:r w:rsidRPr="00EF468C">
              <w:rPr>
                <w:lang w:val="en-AU"/>
              </w:rPr>
              <w:t>)</w:t>
            </w:r>
          </w:p>
        </w:tc>
        <w:tc>
          <w:tcPr>
            <w:tcW w:w="1462" w:type="dxa"/>
            <w:tcBorders>
              <w:top w:val="single" w:sz="4" w:space="0" w:color="auto"/>
              <w:bottom w:val="single" w:sz="4" w:space="0" w:color="auto"/>
            </w:tcBorders>
            <w:vAlign w:val="center"/>
          </w:tcPr>
          <w:p w:rsidR="005C27C0" w:rsidRPr="00EF468C" w:rsidRDefault="005C27C0" w:rsidP="005C27C0">
            <w:pPr>
              <w:jc w:val="center"/>
              <w:rPr>
                <w:lang w:val="en-AU"/>
              </w:rPr>
            </w:pPr>
            <w:r w:rsidRPr="00EF468C">
              <w:rPr>
                <w:i/>
                <w:lang w:val="en-AU"/>
              </w:rPr>
              <w:t xml:space="preserve">N </w:t>
            </w:r>
            <w:r w:rsidRPr="00EF468C">
              <w:rPr>
                <w:lang w:val="en-AU"/>
              </w:rPr>
              <w:t>(%)</w:t>
            </w:r>
          </w:p>
        </w:tc>
      </w:tr>
      <w:tr w:rsidR="007C6EFE" w:rsidRPr="00EF468C" w:rsidTr="007C6EFE">
        <w:trPr>
          <w:jc w:val="center"/>
        </w:trPr>
        <w:tc>
          <w:tcPr>
            <w:tcW w:w="3598" w:type="dxa"/>
            <w:tcBorders>
              <w:top w:val="single" w:sz="4" w:space="0" w:color="auto"/>
            </w:tcBorders>
          </w:tcPr>
          <w:p w:rsidR="007C6EFE" w:rsidRPr="00EF468C" w:rsidRDefault="007C6EFE" w:rsidP="00097F2A">
            <w:pPr>
              <w:rPr>
                <w:lang w:val="en-AU"/>
              </w:rPr>
            </w:pPr>
          </w:p>
        </w:tc>
        <w:tc>
          <w:tcPr>
            <w:tcW w:w="1696" w:type="dxa"/>
            <w:tcBorders>
              <w:top w:val="single" w:sz="4" w:space="0" w:color="auto"/>
            </w:tcBorders>
          </w:tcPr>
          <w:p w:rsidR="007C6EFE" w:rsidRPr="00EF468C" w:rsidRDefault="007C6EFE" w:rsidP="005C27C0">
            <w:pPr>
              <w:jc w:val="center"/>
              <w:rPr>
                <w:lang w:val="en-AU"/>
              </w:rPr>
            </w:pPr>
          </w:p>
        </w:tc>
        <w:tc>
          <w:tcPr>
            <w:tcW w:w="1462" w:type="dxa"/>
            <w:tcBorders>
              <w:top w:val="single" w:sz="4" w:space="0" w:color="auto"/>
            </w:tcBorders>
          </w:tcPr>
          <w:p w:rsidR="007C6EFE" w:rsidRPr="00EF468C" w:rsidRDefault="007C6EFE" w:rsidP="005C27C0">
            <w:pPr>
              <w:jc w:val="center"/>
              <w:rPr>
                <w:lang w:val="en-AU"/>
              </w:rPr>
            </w:pPr>
          </w:p>
        </w:tc>
      </w:tr>
      <w:tr w:rsidR="005C27C0" w:rsidRPr="00EF468C" w:rsidTr="007C6EFE">
        <w:trPr>
          <w:jc w:val="center"/>
        </w:trPr>
        <w:tc>
          <w:tcPr>
            <w:tcW w:w="3598" w:type="dxa"/>
          </w:tcPr>
          <w:p w:rsidR="005C27C0" w:rsidRPr="00EF468C" w:rsidRDefault="005C27C0" w:rsidP="00097F2A">
            <w:pPr>
              <w:rPr>
                <w:lang w:val="en-AU"/>
              </w:rPr>
            </w:pPr>
            <w:r w:rsidRPr="00EF468C">
              <w:rPr>
                <w:lang w:val="en-AU"/>
              </w:rPr>
              <w:t>Men</w:t>
            </w:r>
          </w:p>
        </w:tc>
        <w:tc>
          <w:tcPr>
            <w:tcW w:w="1696" w:type="dxa"/>
          </w:tcPr>
          <w:p w:rsidR="005C27C0" w:rsidRPr="00EF468C" w:rsidRDefault="005C27C0" w:rsidP="005C27C0">
            <w:pPr>
              <w:jc w:val="center"/>
              <w:rPr>
                <w:lang w:val="en-AU"/>
              </w:rPr>
            </w:pPr>
            <w:r w:rsidRPr="00EF468C">
              <w:rPr>
                <w:lang w:val="en-AU"/>
              </w:rPr>
              <w:t>44.2 (13.46)</w:t>
            </w:r>
          </w:p>
        </w:tc>
        <w:tc>
          <w:tcPr>
            <w:tcW w:w="1462" w:type="dxa"/>
          </w:tcPr>
          <w:p w:rsidR="005C27C0" w:rsidRPr="00EF468C" w:rsidRDefault="005C27C0" w:rsidP="005C27C0">
            <w:pPr>
              <w:jc w:val="center"/>
              <w:rPr>
                <w:lang w:val="en-AU"/>
              </w:rPr>
            </w:pPr>
            <w:r w:rsidRPr="00EF468C">
              <w:rPr>
                <w:lang w:val="en-AU"/>
              </w:rPr>
              <w:t xml:space="preserve">35 (48.6) </w:t>
            </w:r>
          </w:p>
        </w:tc>
      </w:tr>
      <w:tr w:rsidR="005C27C0" w:rsidRPr="00EF468C" w:rsidTr="007C6EFE">
        <w:trPr>
          <w:jc w:val="center"/>
        </w:trPr>
        <w:tc>
          <w:tcPr>
            <w:tcW w:w="3598" w:type="dxa"/>
          </w:tcPr>
          <w:p w:rsidR="005C27C0" w:rsidRPr="00EF468C" w:rsidRDefault="005C27C0" w:rsidP="00097F2A">
            <w:pPr>
              <w:rPr>
                <w:lang w:val="en-AU"/>
              </w:rPr>
            </w:pPr>
            <w:r w:rsidRPr="00EF468C">
              <w:rPr>
                <w:lang w:val="en-AU"/>
              </w:rPr>
              <w:t xml:space="preserve">Women </w:t>
            </w:r>
          </w:p>
        </w:tc>
        <w:tc>
          <w:tcPr>
            <w:tcW w:w="1696" w:type="dxa"/>
          </w:tcPr>
          <w:p w:rsidR="005C27C0" w:rsidRPr="00EF468C" w:rsidRDefault="005C27C0" w:rsidP="005C27C0">
            <w:pPr>
              <w:jc w:val="center"/>
              <w:rPr>
                <w:lang w:val="en-AU"/>
              </w:rPr>
            </w:pPr>
            <w:r w:rsidRPr="00EF468C">
              <w:rPr>
                <w:lang w:val="en-AU"/>
              </w:rPr>
              <w:t>41.1 (13.51)</w:t>
            </w:r>
          </w:p>
        </w:tc>
        <w:tc>
          <w:tcPr>
            <w:tcW w:w="1462" w:type="dxa"/>
          </w:tcPr>
          <w:p w:rsidR="005C27C0" w:rsidRPr="00EF468C" w:rsidRDefault="005C27C0" w:rsidP="005C27C0">
            <w:pPr>
              <w:jc w:val="center"/>
              <w:rPr>
                <w:lang w:val="en-AU"/>
              </w:rPr>
            </w:pPr>
            <w:r w:rsidRPr="00EF468C">
              <w:rPr>
                <w:lang w:val="en-AU"/>
              </w:rPr>
              <w:t>37 (51.2)</w:t>
            </w:r>
          </w:p>
        </w:tc>
      </w:tr>
      <w:tr w:rsidR="005C27C0" w:rsidRPr="00EF468C" w:rsidTr="007C6EFE">
        <w:trPr>
          <w:jc w:val="center"/>
        </w:trPr>
        <w:tc>
          <w:tcPr>
            <w:tcW w:w="3598" w:type="dxa"/>
          </w:tcPr>
          <w:p w:rsidR="005C27C0" w:rsidRPr="00EF468C" w:rsidRDefault="005C27C0" w:rsidP="00097F2A">
            <w:pPr>
              <w:rPr>
                <w:lang w:val="en-AU"/>
              </w:rPr>
            </w:pPr>
            <w:r w:rsidRPr="00EF468C">
              <w:rPr>
                <w:lang w:val="en-AU"/>
              </w:rPr>
              <w:t>Complete sample</w:t>
            </w:r>
          </w:p>
        </w:tc>
        <w:tc>
          <w:tcPr>
            <w:tcW w:w="1696" w:type="dxa"/>
          </w:tcPr>
          <w:p w:rsidR="005C27C0" w:rsidRPr="00EF468C" w:rsidRDefault="005C27C0" w:rsidP="005C27C0">
            <w:pPr>
              <w:jc w:val="center"/>
              <w:rPr>
                <w:lang w:val="en-AU"/>
              </w:rPr>
            </w:pPr>
            <w:r w:rsidRPr="00EF468C">
              <w:rPr>
                <w:lang w:val="en-AU"/>
              </w:rPr>
              <w:t>42.5 (13.48)</w:t>
            </w:r>
          </w:p>
        </w:tc>
        <w:tc>
          <w:tcPr>
            <w:tcW w:w="1462" w:type="dxa"/>
          </w:tcPr>
          <w:p w:rsidR="005C27C0" w:rsidRPr="00EF468C" w:rsidRDefault="005C27C0" w:rsidP="005C27C0">
            <w:pPr>
              <w:jc w:val="center"/>
              <w:rPr>
                <w:lang w:val="en-AU"/>
              </w:rPr>
            </w:pPr>
            <w:r w:rsidRPr="00EF468C">
              <w:rPr>
                <w:lang w:val="en-AU"/>
              </w:rPr>
              <w:t>72 (100)</w:t>
            </w:r>
          </w:p>
        </w:tc>
      </w:tr>
      <w:tr w:rsidR="005C27C0" w:rsidRPr="00EF468C" w:rsidTr="007C6EFE">
        <w:trPr>
          <w:jc w:val="center"/>
        </w:trPr>
        <w:tc>
          <w:tcPr>
            <w:tcW w:w="3598" w:type="dxa"/>
            <w:tcBorders>
              <w:bottom w:val="single" w:sz="4" w:space="0" w:color="auto"/>
            </w:tcBorders>
            <w:vAlign w:val="center"/>
          </w:tcPr>
          <w:p w:rsidR="005C27C0" w:rsidRPr="00EF468C" w:rsidRDefault="005C27C0" w:rsidP="00097F2A">
            <w:pPr>
              <w:rPr>
                <w:b/>
                <w:lang w:val="en-AU"/>
              </w:rPr>
            </w:pPr>
          </w:p>
        </w:tc>
        <w:tc>
          <w:tcPr>
            <w:tcW w:w="1696" w:type="dxa"/>
            <w:tcBorders>
              <w:bottom w:val="single" w:sz="4" w:space="0" w:color="auto"/>
            </w:tcBorders>
            <w:vAlign w:val="center"/>
          </w:tcPr>
          <w:p w:rsidR="005C27C0" w:rsidRPr="00EF468C" w:rsidRDefault="005C27C0" w:rsidP="005C27C0">
            <w:pPr>
              <w:jc w:val="center"/>
              <w:rPr>
                <w:b/>
                <w:lang w:val="en-AU"/>
              </w:rPr>
            </w:pPr>
          </w:p>
        </w:tc>
        <w:tc>
          <w:tcPr>
            <w:tcW w:w="1462" w:type="dxa"/>
            <w:tcBorders>
              <w:bottom w:val="single" w:sz="4" w:space="0" w:color="auto"/>
            </w:tcBorders>
          </w:tcPr>
          <w:p w:rsidR="005C27C0" w:rsidRPr="00EF468C" w:rsidRDefault="005C27C0" w:rsidP="005C27C0">
            <w:pPr>
              <w:jc w:val="center"/>
              <w:rPr>
                <w:b/>
                <w:lang w:val="en-AU"/>
              </w:rPr>
            </w:pPr>
          </w:p>
        </w:tc>
      </w:tr>
      <w:tr w:rsidR="005C27C0" w:rsidRPr="00EF468C" w:rsidTr="007C6EFE">
        <w:trPr>
          <w:jc w:val="center"/>
        </w:trPr>
        <w:tc>
          <w:tcPr>
            <w:tcW w:w="3598" w:type="dxa"/>
            <w:tcBorders>
              <w:top w:val="single" w:sz="4" w:space="0" w:color="auto"/>
              <w:bottom w:val="single" w:sz="4" w:space="0" w:color="auto"/>
            </w:tcBorders>
            <w:vAlign w:val="center"/>
          </w:tcPr>
          <w:p w:rsidR="005C27C0" w:rsidRPr="00EF468C" w:rsidRDefault="005C27C0" w:rsidP="00097F2A">
            <w:pPr>
              <w:rPr>
                <w:lang w:val="en-AU"/>
              </w:rPr>
            </w:pPr>
            <w:r w:rsidRPr="00EF468C">
              <w:rPr>
                <w:lang w:val="en-AU"/>
              </w:rPr>
              <w:t>Education</w:t>
            </w:r>
          </w:p>
        </w:tc>
        <w:tc>
          <w:tcPr>
            <w:tcW w:w="1696" w:type="dxa"/>
            <w:tcBorders>
              <w:top w:val="single" w:sz="4" w:space="0" w:color="auto"/>
              <w:bottom w:val="single" w:sz="4" w:space="0" w:color="auto"/>
            </w:tcBorders>
            <w:vAlign w:val="center"/>
          </w:tcPr>
          <w:p w:rsidR="005C27C0" w:rsidRPr="00EF468C" w:rsidRDefault="005C27C0" w:rsidP="005C27C0">
            <w:pPr>
              <w:jc w:val="center"/>
              <w:rPr>
                <w:lang w:val="en-AU"/>
              </w:rPr>
            </w:pPr>
            <w:r w:rsidRPr="00EF468C">
              <w:rPr>
                <w:lang w:val="en-AU"/>
              </w:rPr>
              <w:t>Frequency</w:t>
            </w:r>
          </w:p>
        </w:tc>
        <w:tc>
          <w:tcPr>
            <w:tcW w:w="1462" w:type="dxa"/>
            <w:tcBorders>
              <w:top w:val="single" w:sz="4" w:space="0" w:color="auto"/>
              <w:bottom w:val="single" w:sz="4" w:space="0" w:color="auto"/>
            </w:tcBorders>
          </w:tcPr>
          <w:p w:rsidR="005C27C0" w:rsidRPr="00EF468C" w:rsidRDefault="005C27C0" w:rsidP="005C27C0">
            <w:pPr>
              <w:jc w:val="center"/>
              <w:rPr>
                <w:lang w:val="en-AU"/>
              </w:rPr>
            </w:pPr>
            <w:r w:rsidRPr="00EF468C">
              <w:rPr>
                <w:lang w:val="en-AU"/>
              </w:rPr>
              <w:t>%</w:t>
            </w:r>
          </w:p>
        </w:tc>
      </w:tr>
      <w:tr w:rsidR="007C6EFE" w:rsidRPr="00EF468C" w:rsidTr="007C6EFE">
        <w:trPr>
          <w:jc w:val="center"/>
        </w:trPr>
        <w:tc>
          <w:tcPr>
            <w:tcW w:w="3598" w:type="dxa"/>
            <w:tcBorders>
              <w:top w:val="single" w:sz="4" w:space="0" w:color="auto"/>
            </w:tcBorders>
          </w:tcPr>
          <w:p w:rsidR="007C6EFE" w:rsidRPr="00EF468C" w:rsidRDefault="007C6EFE" w:rsidP="000C0522">
            <w:pPr>
              <w:rPr>
                <w:lang w:val="en-AU"/>
              </w:rPr>
            </w:pPr>
          </w:p>
        </w:tc>
        <w:tc>
          <w:tcPr>
            <w:tcW w:w="1696" w:type="dxa"/>
            <w:tcBorders>
              <w:top w:val="single" w:sz="4" w:space="0" w:color="auto"/>
            </w:tcBorders>
          </w:tcPr>
          <w:p w:rsidR="007C6EFE" w:rsidRPr="00EF468C" w:rsidRDefault="007C6EFE" w:rsidP="005C27C0">
            <w:pPr>
              <w:jc w:val="center"/>
              <w:rPr>
                <w:lang w:val="en-AU"/>
              </w:rPr>
            </w:pPr>
          </w:p>
        </w:tc>
        <w:tc>
          <w:tcPr>
            <w:tcW w:w="1462" w:type="dxa"/>
            <w:tcBorders>
              <w:top w:val="single" w:sz="4" w:space="0" w:color="auto"/>
            </w:tcBorders>
          </w:tcPr>
          <w:p w:rsidR="007C6EFE" w:rsidRPr="00EF468C" w:rsidRDefault="007C6EFE" w:rsidP="005C27C0">
            <w:pPr>
              <w:jc w:val="center"/>
              <w:rPr>
                <w:lang w:val="en-AU"/>
              </w:rPr>
            </w:pPr>
          </w:p>
        </w:tc>
      </w:tr>
      <w:tr w:rsidR="005C27C0" w:rsidRPr="00EF468C" w:rsidTr="007C6EFE">
        <w:trPr>
          <w:jc w:val="center"/>
        </w:trPr>
        <w:tc>
          <w:tcPr>
            <w:tcW w:w="3598" w:type="dxa"/>
          </w:tcPr>
          <w:p w:rsidR="005C27C0" w:rsidRPr="00EF468C" w:rsidRDefault="005C27C0" w:rsidP="000C0522">
            <w:pPr>
              <w:rPr>
                <w:lang w:val="en-AU"/>
              </w:rPr>
            </w:pPr>
            <w:r w:rsidRPr="00EF468C">
              <w:rPr>
                <w:lang w:val="en-AU"/>
              </w:rPr>
              <w:t>Primary school</w:t>
            </w:r>
          </w:p>
        </w:tc>
        <w:tc>
          <w:tcPr>
            <w:tcW w:w="1696" w:type="dxa"/>
          </w:tcPr>
          <w:p w:rsidR="005C27C0" w:rsidRPr="00EF468C" w:rsidRDefault="005C27C0" w:rsidP="005C27C0">
            <w:pPr>
              <w:jc w:val="center"/>
              <w:rPr>
                <w:lang w:val="en-AU"/>
              </w:rPr>
            </w:pPr>
            <w:r w:rsidRPr="00EF468C">
              <w:rPr>
                <w:lang w:val="en-AU"/>
              </w:rPr>
              <w:t>6</w:t>
            </w:r>
          </w:p>
        </w:tc>
        <w:tc>
          <w:tcPr>
            <w:tcW w:w="1462" w:type="dxa"/>
          </w:tcPr>
          <w:p w:rsidR="005C27C0" w:rsidRPr="00EF468C" w:rsidRDefault="005C27C0" w:rsidP="005C27C0">
            <w:pPr>
              <w:jc w:val="center"/>
              <w:rPr>
                <w:lang w:val="en-AU"/>
              </w:rPr>
            </w:pPr>
            <w:r w:rsidRPr="00EF468C">
              <w:rPr>
                <w:lang w:val="en-AU"/>
              </w:rPr>
              <w:t>8.3</w:t>
            </w:r>
          </w:p>
        </w:tc>
      </w:tr>
      <w:tr w:rsidR="005C27C0" w:rsidRPr="00EF468C" w:rsidTr="007C6EFE">
        <w:trPr>
          <w:jc w:val="center"/>
        </w:trPr>
        <w:tc>
          <w:tcPr>
            <w:tcW w:w="3598" w:type="dxa"/>
          </w:tcPr>
          <w:p w:rsidR="005C27C0" w:rsidRPr="00EF468C" w:rsidRDefault="005C27C0" w:rsidP="000C0522">
            <w:pPr>
              <w:rPr>
                <w:lang w:val="en-AU"/>
              </w:rPr>
            </w:pPr>
            <w:r w:rsidRPr="00EF468C">
              <w:rPr>
                <w:lang w:val="en-AU"/>
              </w:rPr>
              <w:t>High school degree</w:t>
            </w:r>
          </w:p>
        </w:tc>
        <w:tc>
          <w:tcPr>
            <w:tcW w:w="1696" w:type="dxa"/>
          </w:tcPr>
          <w:p w:rsidR="005C27C0" w:rsidRPr="00EF468C" w:rsidRDefault="005C27C0" w:rsidP="005C27C0">
            <w:pPr>
              <w:jc w:val="center"/>
              <w:rPr>
                <w:lang w:val="en-AU"/>
              </w:rPr>
            </w:pPr>
            <w:r w:rsidRPr="00EF468C">
              <w:rPr>
                <w:lang w:val="en-AU"/>
              </w:rPr>
              <w:t>47</w:t>
            </w:r>
          </w:p>
        </w:tc>
        <w:tc>
          <w:tcPr>
            <w:tcW w:w="1462" w:type="dxa"/>
          </w:tcPr>
          <w:p w:rsidR="005C27C0" w:rsidRPr="00EF468C" w:rsidRDefault="005C27C0" w:rsidP="005C27C0">
            <w:pPr>
              <w:jc w:val="center"/>
              <w:rPr>
                <w:lang w:val="en-AU"/>
              </w:rPr>
            </w:pPr>
            <w:r w:rsidRPr="00EF468C">
              <w:rPr>
                <w:lang w:val="en-AU"/>
              </w:rPr>
              <w:t>65.3</w:t>
            </w:r>
          </w:p>
        </w:tc>
      </w:tr>
      <w:tr w:rsidR="005C27C0" w:rsidRPr="00EF468C" w:rsidTr="007C6EFE">
        <w:trPr>
          <w:jc w:val="center"/>
        </w:trPr>
        <w:tc>
          <w:tcPr>
            <w:tcW w:w="3598" w:type="dxa"/>
          </w:tcPr>
          <w:p w:rsidR="005C27C0" w:rsidRPr="00EF468C" w:rsidRDefault="005C27C0" w:rsidP="000C0522">
            <w:pPr>
              <w:rPr>
                <w:lang w:val="en-AU"/>
              </w:rPr>
            </w:pPr>
            <w:r w:rsidRPr="00EF468C">
              <w:rPr>
                <w:lang w:val="en-AU"/>
              </w:rPr>
              <w:t>Bachelor’s degree</w:t>
            </w:r>
          </w:p>
        </w:tc>
        <w:tc>
          <w:tcPr>
            <w:tcW w:w="1696" w:type="dxa"/>
          </w:tcPr>
          <w:p w:rsidR="005C27C0" w:rsidRPr="00EF468C" w:rsidRDefault="005C27C0" w:rsidP="005C27C0">
            <w:pPr>
              <w:jc w:val="center"/>
              <w:rPr>
                <w:lang w:val="en-AU"/>
              </w:rPr>
            </w:pPr>
            <w:r w:rsidRPr="00EF468C">
              <w:rPr>
                <w:lang w:val="en-AU"/>
              </w:rPr>
              <w:t>11</w:t>
            </w:r>
          </w:p>
        </w:tc>
        <w:tc>
          <w:tcPr>
            <w:tcW w:w="1462" w:type="dxa"/>
          </w:tcPr>
          <w:p w:rsidR="005C27C0" w:rsidRPr="00EF468C" w:rsidRDefault="005C27C0" w:rsidP="005C27C0">
            <w:pPr>
              <w:jc w:val="center"/>
              <w:rPr>
                <w:lang w:val="en-AU"/>
              </w:rPr>
            </w:pPr>
            <w:r w:rsidRPr="00EF468C">
              <w:rPr>
                <w:lang w:val="en-AU"/>
              </w:rPr>
              <w:t>15.3</w:t>
            </w:r>
          </w:p>
        </w:tc>
      </w:tr>
      <w:tr w:rsidR="005C27C0" w:rsidRPr="00EF468C" w:rsidTr="007C6EFE">
        <w:trPr>
          <w:jc w:val="center"/>
        </w:trPr>
        <w:tc>
          <w:tcPr>
            <w:tcW w:w="3598" w:type="dxa"/>
          </w:tcPr>
          <w:p w:rsidR="005C27C0" w:rsidRPr="00EF468C" w:rsidRDefault="005C27C0" w:rsidP="000C0522">
            <w:pPr>
              <w:rPr>
                <w:lang w:val="en-AU"/>
              </w:rPr>
            </w:pPr>
            <w:r w:rsidRPr="00EF468C">
              <w:rPr>
                <w:lang w:val="en-AU"/>
              </w:rPr>
              <w:t>Graduate or higher degree</w:t>
            </w:r>
          </w:p>
        </w:tc>
        <w:tc>
          <w:tcPr>
            <w:tcW w:w="1696" w:type="dxa"/>
          </w:tcPr>
          <w:p w:rsidR="005C27C0" w:rsidRPr="00EF468C" w:rsidRDefault="005C27C0" w:rsidP="005C27C0">
            <w:pPr>
              <w:jc w:val="center"/>
              <w:rPr>
                <w:lang w:val="en-AU"/>
              </w:rPr>
            </w:pPr>
            <w:r w:rsidRPr="00EF468C">
              <w:rPr>
                <w:lang w:val="en-AU"/>
              </w:rPr>
              <w:t>8</w:t>
            </w:r>
          </w:p>
        </w:tc>
        <w:tc>
          <w:tcPr>
            <w:tcW w:w="1462" w:type="dxa"/>
          </w:tcPr>
          <w:p w:rsidR="005C27C0" w:rsidRPr="00EF468C" w:rsidRDefault="005C27C0" w:rsidP="005C27C0">
            <w:pPr>
              <w:jc w:val="center"/>
              <w:rPr>
                <w:lang w:val="en-AU"/>
              </w:rPr>
            </w:pPr>
            <w:r w:rsidRPr="00EF468C">
              <w:rPr>
                <w:lang w:val="en-AU"/>
              </w:rPr>
              <w:t>11.3</w:t>
            </w:r>
          </w:p>
        </w:tc>
      </w:tr>
      <w:tr w:rsidR="005C27C0" w:rsidRPr="00EF468C" w:rsidTr="007C6EFE">
        <w:trPr>
          <w:jc w:val="center"/>
        </w:trPr>
        <w:tc>
          <w:tcPr>
            <w:tcW w:w="3598" w:type="dxa"/>
            <w:tcBorders>
              <w:bottom w:val="single" w:sz="4" w:space="0" w:color="auto"/>
            </w:tcBorders>
            <w:vAlign w:val="center"/>
          </w:tcPr>
          <w:p w:rsidR="005C27C0" w:rsidRPr="00EF468C" w:rsidRDefault="005C27C0" w:rsidP="003C44C9">
            <w:pPr>
              <w:rPr>
                <w:b/>
                <w:lang w:val="en-AU"/>
              </w:rPr>
            </w:pPr>
          </w:p>
        </w:tc>
        <w:tc>
          <w:tcPr>
            <w:tcW w:w="1696" w:type="dxa"/>
            <w:tcBorders>
              <w:bottom w:val="single" w:sz="4" w:space="0" w:color="auto"/>
            </w:tcBorders>
            <w:vAlign w:val="center"/>
          </w:tcPr>
          <w:p w:rsidR="005C27C0" w:rsidRPr="00EF468C" w:rsidRDefault="005C27C0" w:rsidP="005C27C0">
            <w:pPr>
              <w:jc w:val="center"/>
              <w:rPr>
                <w:lang w:val="en-AU"/>
              </w:rPr>
            </w:pPr>
          </w:p>
        </w:tc>
        <w:tc>
          <w:tcPr>
            <w:tcW w:w="1462" w:type="dxa"/>
            <w:tcBorders>
              <w:bottom w:val="single" w:sz="4" w:space="0" w:color="auto"/>
            </w:tcBorders>
            <w:vAlign w:val="center"/>
          </w:tcPr>
          <w:p w:rsidR="005C27C0" w:rsidRPr="00EF468C" w:rsidRDefault="005C27C0" w:rsidP="005C27C0">
            <w:pPr>
              <w:jc w:val="center"/>
              <w:rPr>
                <w:lang w:val="en-AU"/>
              </w:rPr>
            </w:pPr>
          </w:p>
        </w:tc>
      </w:tr>
      <w:tr w:rsidR="007C6EFE" w:rsidRPr="00EF468C" w:rsidTr="007C6EFE">
        <w:trPr>
          <w:trHeight w:val="222"/>
          <w:jc w:val="center"/>
        </w:trPr>
        <w:tc>
          <w:tcPr>
            <w:tcW w:w="3598" w:type="dxa"/>
            <w:tcBorders>
              <w:top w:val="single" w:sz="4" w:space="0" w:color="auto"/>
              <w:bottom w:val="single" w:sz="4" w:space="0" w:color="auto"/>
            </w:tcBorders>
            <w:vAlign w:val="center"/>
          </w:tcPr>
          <w:p w:rsidR="007C6EFE" w:rsidRPr="00EF468C" w:rsidRDefault="007C6EFE" w:rsidP="003C44C9">
            <w:pPr>
              <w:rPr>
                <w:lang w:val="en-AU"/>
              </w:rPr>
            </w:pPr>
            <w:r w:rsidRPr="00EF468C">
              <w:rPr>
                <w:lang w:val="en-AU"/>
              </w:rPr>
              <w:t>Primary diagnosis</w:t>
            </w:r>
          </w:p>
        </w:tc>
        <w:tc>
          <w:tcPr>
            <w:tcW w:w="1696" w:type="dxa"/>
            <w:tcBorders>
              <w:top w:val="single" w:sz="4" w:space="0" w:color="auto"/>
              <w:bottom w:val="single" w:sz="4" w:space="0" w:color="auto"/>
            </w:tcBorders>
            <w:vAlign w:val="center"/>
          </w:tcPr>
          <w:p w:rsidR="007C6EFE" w:rsidRPr="00EF468C" w:rsidRDefault="007C6EFE" w:rsidP="003C44C9">
            <w:pPr>
              <w:jc w:val="center"/>
              <w:rPr>
                <w:lang w:val="en-AU"/>
              </w:rPr>
            </w:pPr>
            <w:r w:rsidRPr="00EF468C">
              <w:rPr>
                <w:lang w:val="en-AU"/>
              </w:rPr>
              <w:t>Frequency</w:t>
            </w:r>
          </w:p>
        </w:tc>
        <w:tc>
          <w:tcPr>
            <w:tcW w:w="1462" w:type="dxa"/>
            <w:tcBorders>
              <w:top w:val="single" w:sz="4" w:space="0" w:color="auto"/>
              <w:bottom w:val="single" w:sz="4" w:space="0" w:color="auto"/>
            </w:tcBorders>
          </w:tcPr>
          <w:p w:rsidR="007C6EFE" w:rsidRPr="00EF468C" w:rsidRDefault="007C6EFE" w:rsidP="003C44C9">
            <w:pPr>
              <w:jc w:val="center"/>
              <w:rPr>
                <w:lang w:val="en-AU"/>
              </w:rPr>
            </w:pPr>
            <w:r w:rsidRPr="00EF468C">
              <w:rPr>
                <w:lang w:val="en-AU"/>
              </w:rPr>
              <w:t>%</w:t>
            </w:r>
          </w:p>
        </w:tc>
      </w:tr>
      <w:tr w:rsidR="005C27C0" w:rsidRPr="00EF468C" w:rsidTr="007C6EFE">
        <w:trPr>
          <w:trHeight w:val="466"/>
          <w:jc w:val="center"/>
        </w:trPr>
        <w:tc>
          <w:tcPr>
            <w:tcW w:w="3598" w:type="dxa"/>
            <w:tcBorders>
              <w:top w:val="single" w:sz="4" w:space="0" w:color="auto"/>
            </w:tcBorders>
            <w:vAlign w:val="center"/>
          </w:tcPr>
          <w:p w:rsidR="005C27C0" w:rsidRPr="00EF468C" w:rsidRDefault="005C27C0" w:rsidP="007C6EFE">
            <w:pPr>
              <w:rPr>
                <w:lang w:val="en-AU"/>
              </w:rPr>
            </w:pPr>
            <w:r w:rsidRPr="00EF468C">
              <w:rPr>
                <w:lang w:val="en-AU"/>
              </w:rPr>
              <w:t xml:space="preserve">GAD </w:t>
            </w:r>
          </w:p>
        </w:tc>
        <w:tc>
          <w:tcPr>
            <w:tcW w:w="1696" w:type="dxa"/>
            <w:tcBorders>
              <w:top w:val="single" w:sz="4" w:space="0" w:color="auto"/>
            </w:tcBorders>
            <w:vAlign w:val="center"/>
          </w:tcPr>
          <w:p w:rsidR="005C27C0" w:rsidRPr="00EF468C" w:rsidRDefault="005C27C0" w:rsidP="005C27C0">
            <w:pPr>
              <w:jc w:val="center"/>
              <w:rPr>
                <w:lang w:val="en-AU"/>
              </w:rPr>
            </w:pPr>
            <w:r w:rsidRPr="00EF468C">
              <w:rPr>
                <w:lang w:val="en-AU"/>
              </w:rPr>
              <w:t>14</w:t>
            </w:r>
          </w:p>
        </w:tc>
        <w:tc>
          <w:tcPr>
            <w:tcW w:w="1462" w:type="dxa"/>
            <w:tcBorders>
              <w:top w:val="single" w:sz="4" w:space="0" w:color="auto"/>
            </w:tcBorders>
            <w:vAlign w:val="center"/>
          </w:tcPr>
          <w:p w:rsidR="005C27C0" w:rsidRPr="00EF468C" w:rsidRDefault="005C27C0" w:rsidP="005C27C0">
            <w:pPr>
              <w:jc w:val="center"/>
              <w:rPr>
                <w:lang w:val="en-AU"/>
              </w:rPr>
            </w:pPr>
            <w:r w:rsidRPr="00EF468C">
              <w:rPr>
                <w:lang w:val="en-AU"/>
              </w:rPr>
              <w:t>19.4</w:t>
            </w:r>
          </w:p>
        </w:tc>
      </w:tr>
      <w:tr w:rsidR="005C27C0" w:rsidRPr="00EF468C" w:rsidTr="007C6EFE">
        <w:trPr>
          <w:jc w:val="center"/>
        </w:trPr>
        <w:tc>
          <w:tcPr>
            <w:tcW w:w="3598" w:type="dxa"/>
            <w:vAlign w:val="center"/>
          </w:tcPr>
          <w:p w:rsidR="005C27C0" w:rsidRPr="00EF468C" w:rsidRDefault="005C27C0" w:rsidP="007C6EFE">
            <w:pPr>
              <w:rPr>
                <w:lang w:val="en-AU"/>
              </w:rPr>
            </w:pPr>
            <w:r w:rsidRPr="00EF468C">
              <w:rPr>
                <w:lang w:val="en-AU"/>
              </w:rPr>
              <w:t xml:space="preserve">Another anxiety disorder </w:t>
            </w:r>
          </w:p>
        </w:tc>
        <w:tc>
          <w:tcPr>
            <w:tcW w:w="1696" w:type="dxa"/>
            <w:vAlign w:val="center"/>
          </w:tcPr>
          <w:p w:rsidR="005C27C0" w:rsidRPr="00EF468C" w:rsidRDefault="005C27C0" w:rsidP="005C27C0">
            <w:pPr>
              <w:jc w:val="center"/>
              <w:rPr>
                <w:lang w:val="en-AU"/>
              </w:rPr>
            </w:pPr>
            <w:r w:rsidRPr="00EF468C">
              <w:rPr>
                <w:lang w:val="en-AU"/>
              </w:rPr>
              <w:t>36</w:t>
            </w:r>
          </w:p>
        </w:tc>
        <w:tc>
          <w:tcPr>
            <w:tcW w:w="1462" w:type="dxa"/>
            <w:vAlign w:val="center"/>
          </w:tcPr>
          <w:p w:rsidR="005C27C0" w:rsidRPr="00EF468C" w:rsidRDefault="005C27C0" w:rsidP="005C27C0">
            <w:pPr>
              <w:jc w:val="center"/>
              <w:rPr>
                <w:lang w:val="en-AU"/>
              </w:rPr>
            </w:pPr>
            <w:r w:rsidRPr="00EF468C">
              <w:rPr>
                <w:lang w:val="en-AU"/>
              </w:rPr>
              <w:t>50</w:t>
            </w:r>
          </w:p>
        </w:tc>
      </w:tr>
      <w:tr w:rsidR="007C6EFE" w:rsidRPr="00EF468C" w:rsidTr="007C6EFE">
        <w:trPr>
          <w:jc w:val="center"/>
        </w:trPr>
        <w:tc>
          <w:tcPr>
            <w:tcW w:w="3598" w:type="dxa"/>
          </w:tcPr>
          <w:p w:rsidR="007C6EFE" w:rsidRPr="00EF468C" w:rsidRDefault="007C6EFE" w:rsidP="005C27C0">
            <w:pPr>
              <w:ind w:left="655" w:hanging="283"/>
              <w:rPr>
                <w:lang w:val="en-AU"/>
              </w:rPr>
            </w:pPr>
          </w:p>
        </w:tc>
        <w:tc>
          <w:tcPr>
            <w:tcW w:w="1696" w:type="dxa"/>
          </w:tcPr>
          <w:p w:rsidR="007C6EFE" w:rsidRPr="00EF468C" w:rsidRDefault="007C6EFE" w:rsidP="005C27C0">
            <w:pPr>
              <w:jc w:val="center"/>
              <w:rPr>
                <w:lang w:val="en-AU"/>
              </w:rPr>
            </w:pPr>
          </w:p>
        </w:tc>
        <w:tc>
          <w:tcPr>
            <w:tcW w:w="1462" w:type="dxa"/>
          </w:tcPr>
          <w:p w:rsidR="007C6EFE" w:rsidRPr="00EF468C" w:rsidRDefault="007C6EFE" w:rsidP="005C27C0">
            <w:pPr>
              <w:jc w:val="center"/>
              <w:rPr>
                <w:lang w:val="en-AU"/>
              </w:rPr>
            </w:pPr>
          </w:p>
        </w:tc>
      </w:tr>
      <w:tr w:rsidR="005C27C0" w:rsidRPr="00EF468C" w:rsidTr="007C6EFE">
        <w:trPr>
          <w:jc w:val="center"/>
        </w:trPr>
        <w:tc>
          <w:tcPr>
            <w:tcW w:w="3598" w:type="dxa"/>
          </w:tcPr>
          <w:p w:rsidR="005C27C0" w:rsidRPr="00EF468C" w:rsidRDefault="005C27C0" w:rsidP="005C27C0">
            <w:pPr>
              <w:ind w:left="655" w:hanging="283"/>
              <w:rPr>
                <w:lang w:val="en-AU"/>
              </w:rPr>
            </w:pPr>
            <w:r w:rsidRPr="00EF468C">
              <w:rPr>
                <w:lang w:val="en-AU"/>
              </w:rPr>
              <w:t>Acute stress reaction or PTSD</w:t>
            </w:r>
          </w:p>
        </w:tc>
        <w:tc>
          <w:tcPr>
            <w:tcW w:w="1696" w:type="dxa"/>
          </w:tcPr>
          <w:p w:rsidR="005C27C0" w:rsidRPr="00EF468C" w:rsidRDefault="005C27C0" w:rsidP="005C27C0">
            <w:pPr>
              <w:jc w:val="center"/>
              <w:rPr>
                <w:lang w:val="en-AU"/>
              </w:rPr>
            </w:pPr>
            <w:r w:rsidRPr="00EF468C">
              <w:rPr>
                <w:lang w:val="en-AU"/>
              </w:rPr>
              <w:t>19</w:t>
            </w:r>
          </w:p>
        </w:tc>
        <w:tc>
          <w:tcPr>
            <w:tcW w:w="1462" w:type="dxa"/>
          </w:tcPr>
          <w:p w:rsidR="005C27C0" w:rsidRPr="00EF468C" w:rsidRDefault="005C27C0" w:rsidP="005C27C0">
            <w:pPr>
              <w:jc w:val="center"/>
              <w:rPr>
                <w:lang w:val="en-AU"/>
              </w:rPr>
            </w:pPr>
            <w:r w:rsidRPr="00EF468C">
              <w:rPr>
                <w:lang w:val="en-AU"/>
              </w:rPr>
              <w:t>26.4</w:t>
            </w:r>
          </w:p>
        </w:tc>
      </w:tr>
      <w:tr w:rsidR="005C27C0" w:rsidRPr="00EF468C" w:rsidTr="007C6EFE">
        <w:trPr>
          <w:jc w:val="center"/>
        </w:trPr>
        <w:tc>
          <w:tcPr>
            <w:tcW w:w="3598" w:type="dxa"/>
          </w:tcPr>
          <w:p w:rsidR="005C27C0" w:rsidRPr="00EF468C" w:rsidRDefault="005C27C0" w:rsidP="005C27C0">
            <w:pPr>
              <w:ind w:left="655" w:hanging="283"/>
              <w:rPr>
                <w:lang w:val="en-AU"/>
              </w:rPr>
            </w:pPr>
            <w:r w:rsidRPr="00EF468C">
              <w:rPr>
                <w:lang w:val="en-AU"/>
              </w:rPr>
              <w:t>Panic disorder</w:t>
            </w:r>
          </w:p>
        </w:tc>
        <w:tc>
          <w:tcPr>
            <w:tcW w:w="1696" w:type="dxa"/>
          </w:tcPr>
          <w:p w:rsidR="005C27C0" w:rsidRPr="00EF468C" w:rsidRDefault="005C27C0" w:rsidP="005C27C0">
            <w:pPr>
              <w:jc w:val="center"/>
              <w:rPr>
                <w:lang w:val="en-AU"/>
              </w:rPr>
            </w:pPr>
            <w:r w:rsidRPr="00EF468C">
              <w:rPr>
                <w:lang w:val="en-AU"/>
              </w:rPr>
              <w:t>8</w:t>
            </w:r>
          </w:p>
        </w:tc>
        <w:tc>
          <w:tcPr>
            <w:tcW w:w="1462" w:type="dxa"/>
          </w:tcPr>
          <w:p w:rsidR="005C27C0" w:rsidRPr="00EF468C" w:rsidRDefault="005C27C0" w:rsidP="005C27C0">
            <w:pPr>
              <w:jc w:val="center"/>
              <w:rPr>
                <w:lang w:val="en-AU"/>
              </w:rPr>
            </w:pPr>
            <w:r w:rsidRPr="00EF468C">
              <w:rPr>
                <w:lang w:val="en-AU"/>
              </w:rPr>
              <w:t>11.1</w:t>
            </w:r>
          </w:p>
        </w:tc>
      </w:tr>
      <w:tr w:rsidR="005C27C0" w:rsidRPr="00EF468C" w:rsidTr="007C6EFE">
        <w:trPr>
          <w:jc w:val="center"/>
        </w:trPr>
        <w:tc>
          <w:tcPr>
            <w:tcW w:w="3598" w:type="dxa"/>
          </w:tcPr>
          <w:p w:rsidR="005C27C0" w:rsidRPr="00EF468C" w:rsidRDefault="005C27C0" w:rsidP="005C27C0">
            <w:pPr>
              <w:ind w:left="655" w:hanging="283"/>
              <w:rPr>
                <w:lang w:val="en-AU"/>
              </w:rPr>
            </w:pPr>
            <w:r w:rsidRPr="00EF468C">
              <w:rPr>
                <w:lang w:val="en-AU"/>
              </w:rPr>
              <w:t>Anxiety mixed with depression</w:t>
            </w:r>
          </w:p>
        </w:tc>
        <w:tc>
          <w:tcPr>
            <w:tcW w:w="1696" w:type="dxa"/>
          </w:tcPr>
          <w:p w:rsidR="005C27C0" w:rsidRPr="00EF468C" w:rsidRDefault="005C27C0" w:rsidP="005C27C0">
            <w:pPr>
              <w:jc w:val="center"/>
              <w:rPr>
                <w:lang w:val="en-AU"/>
              </w:rPr>
            </w:pPr>
            <w:r w:rsidRPr="00EF468C">
              <w:rPr>
                <w:lang w:val="en-AU"/>
              </w:rPr>
              <w:t>6</w:t>
            </w:r>
          </w:p>
        </w:tc>
        <w:tc>
          <w:tcPr>
            <w:tcW w:w="1462" w:type="dxa"/>
          </w:tcPr>
          <w:p w:rsidR="005C27C0" w:rsidRPr="00EF468C" w:rsidRDefault="005C27C0" w:rsidP="005C27C0">
            <w:pPr>
              <w:jc w:val="center"/>
              <w:rPr>
                <w:lang w:val="en-AU"/>
              </w:rPr>
            </w:pPr>
            <w:r w:rsidRPr="00EF468C">
              <w:rPr>
                <w:lang w:val="en-AU"/>
              </w:rPr>
              <w:t>8.3</w:t>
            </w:r>
          </w:p>
        </w:tc>
      </w:tr>
      <w:tr w:rsidR="005C27C0" w:rsidRPr="00EF468C" w:rsidTr="007C6EFE">
        <w:trPr>
          <w:jc w:val="center"/>
        </w:trPr>
        <w:tc>
          <w:tcPr>
            <w:tcW w:w="3598" w:type="dxa"/>
          </w:tcPr>
          <w:p w:rsidR="005C27C0" w:rsidRPr="00EF468C" w:rsidRDefault="005C27C0" w:rsidP="005C27C0">
            <w:pPr>
              <w:ind w:left="655" w:hanging="283"/>
              <w:rPr>
                <w:lang w:val="en-AU"/>
              </w:rPr>
            </w:pPr>
            <w:r w:rsidRPr="00EF468C">
              <w:rPr>
                <w:lang w:val="en-AU"/>
              </w:rPr>
              <w:t xml:space="preserve">Other </w:t>
            </w:r>
          </w:p>
        </w:tc>
        <w:tc>
          <w:tcPr>
            <w:tcW w:w="1696" w:type="dxa"/>
          </w:tcPr>
          <w:p w:rsidR="005C27C0" w:rsidRPr="00EF468C" w:rsidRDefault="005C27C0" w:rsidP="005C27C0">
            <w:pPr>
              <w:jc w:val="center"/>
              <w:rPr>
                <w:lang w:val="en-AU"/>
              </w:rPr>
            </w:pPr>
            <w:r w:rsidRPr="00EF468C">
              <w:rPr>
                <w:lang w:val="en-AU"/>
              </w:rPr>
              <w:t>3</w:t>
            </w:r>
          </w:p>
        </w:tc>
        <w:tc>
          <w:tcPr>
            <w:tcW w:w="1462" w:type="dxa"/>
          </w:tcPr>
          <w:p w:rsidR="005C27C0" w:rsidRPr="00EF468C" w:rsidRDefault="005C27C0" w:rsidP="005C27C0">
            <w:pPr>
              <w:autoSpaceDE w:val="0"/>
              <w:autoSpaceDN w:val="0"/>
              <w:adjustRightInd w:val="0"/>
              <w:jc w:val="center"/>
              <w:rPr>
                <w:lang w:val="en-AU"/>
              </w:rPr>
            </w:pPr>
            <w:r w:rsidRPr="00EF468C">
              <w:rPr>
                <w:lang w:val="en-AU"/>
              </w:rPr>
              <w:t>4.2</w:t>
            </w:r>
          </w:p>
        </w:tc>
      </w:tr>
      <w:tr w:rsidR="007C6EFE" w:rsidRPr="00EF468C" w:rsidTr="007C6EFE">
        <w:trPr>
          <w:jc w:val="center"/>
        </w:trPr>
        <w:tc>
          <w:tcPr>
            <w:tcW w:w="3598" w:type="dxa"/>
            <w:vAlign w:val="center"/>
          </w:tcPr>
          <w:p w:rsidR="007C6EFE" w:rsidRPr="00EF468C" w:rsidRDefault="007C6EFE" w:rsidP="007C6EFE">
            <w:pPr>
              <w:rPr>
                <w:lang w:val="en-AU"/>
              </w:rPr>
            </w:pPr>
          </w:p>
        </w:tc>
        <w:tc>
          <w:tcPr>
            <w:tcW w:w="1696" w:type="dxa"/>
            <w:vAlign w:val="center"/>
          </w:tcPr>
          <w:p w:rsidR="007C6EFE" w:rsidRPr="00EF468C" w:rsidRDefault="007C6EFE" w:rsidP="005C27C0">
            <w:pPr>
              <w:jc w:val="center"/>
              <w:rPr>
                <w:lang w:val="en-AU"/>
              </w:rPr>
            </w:pPr>
          </w:p>
        </w:tc>
        <w:tc>
          <w:tcPr>
            <w:tcW w:w="1462" w:type="dxa"/>
            <w:vAlign w:val="center"/>
          </w:tcPr>
          <w:p w:rsidR="007C6EFE" w:rsidRPr="00EF468C" w:rsidRDefault="007C6EFE" w:rsidP="005C27C0">
            <w:pPr>
              <w:jc w:val="center"/>
              <w:rPr>
                <w:lang w:val="en-AU"/>
              </w:rPr>
            </w:pPr>
          </w:p>
        </w:tc>
      </w:tr>
      <w:tr w:rsidR="005C27C0" w:rsidRPr="00EF468C" w:rsidTr="007C6EFE">
        <w:trPr>
          <w:jc w:val="center"/>
        </w:trPr>
        <w:tc>
          <w:tcPr>
            <w:tcW w:w="3598" w:type="dxa"/>
            <w:tcBorders>
              <w:bottom w:val="single" w:sz="4" w:space="0" w:color="auto"/>
            </w:tcBorders>
            <w:vAlign w:val="center"/>
          </w:tcPr>
          <w:p w:rsidR="005C27C0" w:rsidRPr="00EF468C" w:rsidRDefault="005C27C0" w:rsidP="007C6EFE">
            <w:pPr>
              <w:rPr>
                <w:lang w:val="en-AU"/>
              </w:rPr>
            </w:pPr>
            <w:r w:rsidRPr="00EF468C">
              <w:rPr>
                <w:lang w:val="en-AU"/>
              </w:rPr>
              <w:t xml:space="preserve">Depression </w:t>
            </w:r>
          </w:p>
        </w:tc>
        <w:tc>
          <w:tcPr>
            <w:tcW w:w="1696" w:type="dxa"/>
            <w:tcBorders>
              <w:bottom w:val="single" w:sz="4" w:space="0" w:color="auto"/>
            </w:tcBorders>
            <w:vAlign w:val="center"/>
          </w:tcPr>
          <w:p w:rsidR="005C27C0" w:rsidRPr="00EF468C" w:rsidRDefault="005C27C0" w:rsidP="005C27C0">
            <w:pPr>
              <w:jc w:val="center"/>
              <w:rPr>
                <w:lang w:val="en-AU"/>
              </w:rPr>
            </w:pPr>
            <w:r w:rsidRPr="00EF468C">
              <w:rPr>
                <w:lang w:val="en-AU"/>
              </w:rPr>
              <w:t>22</w:t>
            </w:r>
          </w:p>
        </w:tc>
        <w:tc>
          <w:tcPr>
            <w:tcW w:w="1462" w:type="dxa"/>
            <w:tcBorders>
              <w:bottom w:val="single" w:sz="4" w:space="0" w:color="auto"/>
            </w:tcBorders>
            <w:vAlign w:val="center"/>
          </w:tcPr>
          <w:p w:rsidR="005C27C0" w:rsidRPr="00EF468C" w:rsidRDefault="005C27C0" w:rsidP="005C27C0">
            <w:pPr>
              <w:jc w:val="center"/>
              <w:rPr>
                <w:lang w:val="en-AU"/>
              </w:rPr>
            </w:pPr>
            <w:r w:rsidRPr="00EF468C">
              <w:rPr>
                <w:lang w:val="en-AU"/>
              </w:rPr>
              <w:t>30.6</w:t>
            </w:r>
          </w:p>
        </w:tc>
      </w:tr>
      <w:tr w:rsidR="005C27C0" w:rsidRPr="00EF468C" w:rsidTr="007C6EFE">
        <w:trPr>
          <w:jc w:val="center"/>
        </w:trPr>
        <w:tc>
          <w:tcPr>
            <w:tcW w:w="3598" w:type="dxa"/>
            <w:tcBorders>
              <w:top w:val="single" w:sz="4" w:space="0" w:color="auto"/>
            </w:tcBorders>
          </w:tcPr>
          <w:p w:rsidR="005C27C0" w:rsidRPr="00EF468C" w:rsidRDefault="005C27C0" w:rsidP="00631602">
            <w:pPr>
              <w:rPr>
                <w:lang w:val="en-AU"/>
              </w:rPr>
            </w:pPr>
          </w:p>
        </w:tc>
        <w:tc>
          <w:tcPr>
            <w:tcW w:w="1696" w:type="dxa"/>
            <w:tcBorders>
              <w:top w:val="single" w:sz="4" w:space="0" w:color="auto"/>
            </w:tcBorders>
          </w:tcPr>
          <w:p w:rsidR="005C27C0" w:rsidRPr="00EF468C" w:rsidRDefault="005C27C0" w:rsidP="005C27C0">
            <w:pPr>
              <w:autoSpaceDE w:val="0"/>
              <w:autoSpaceDN w:val="0"/>
              <w:adjustRightInd w:val="0"/>
              <w:jc w:val="center"/>
              <w:rPr>
                <w:lang w:val="en-AU"/>
              </w:rPr>
            </w:pPr>
          </w:p>
        </w:tc>
        <w:tc>
          <w:tcPr>
            <w:tcW w:w="1462" w:type="dxa"/>
            <w:tcBorders>
              <w:top w:val="single" w:sz="4" w:space="0" w:color="auto"/>
            </w:tcBorders>
          </w:tcPr>
          <w:p w:rsidR="005C27C0" w:rsidRPr="00EF468C" w:rsidRDefault="005C27C0" w:rsidP="005C27C0">
            <w:pPr>
              <w:autoSpaceDE w:val="0"/>
              <w:autoSpaceDN w:val="0"/>
              <w:adjustRightInd w:val="0"/>
              <w:jc w:val="center"/>
              <w:rPr>
                <w:lang w:val="en-AU"/>
              </w:rPr>
            </w:pPr>
          </w:p>
        </w:tc>
      </w:tr>
      <w:tr w:rsidR="005C27C0" w:rsidRPr="00EF468C" w:rsidTr="007C6EFE">
        <w:trPr>
          <w:jc w:val="center"/>
        </w:trPr>
        <w:tc>
          <w:tcPr>
            <w:tcW w:w="3598" w:type="dxa"/>
          </w:tcPr>
          <w:p w:rsidR="005C27C0" w:rsidRPr="00EF468C" w:rsidRDefault="005C27C0" w:rsidP="00631602">
            <w:pPr>
              <w:rPr>
                <w:lang w:val="en-AU"/>
              </w:rPr>
            </w:pPr>
          </w:p>
        </w:tc>
        <w:tc>
          <w:tcPr>
            <w:tcW w:w="1696" w:type="dxa"/>
          </w:tcPr>
          <w:p w:rsidR="005C27C0" w:rsidRPr="00EF468C" w:rsidRDefault="005C27C0" w:rsidP="005C27C0">
            <w:pPr>
              <w:autoSpaceDE w:val="0"/>
              <w:autoSpaceDN w:val="0"/>
              <w:adjustRightInd w:val="0"/>
              <w:jc w:val="center"/>
              <w:rPr>
                <w:lang w:val="en-AU"/>
              </w:rPr>
            </w:pPr>
          </w:p>
        </w:tc>
        <w:tc>
          <w:tcPr>
            <w:tcW w:w="1462" w:type="dxa"/>
          </w:tcPr>
          <w:p w:rsidR="005C27C0" w:rsidRPr="00EF468C" w:rsidRDefault="005C27C0" w:rsidP="005C27C0">
            <w:pPr>
              <w:autoSpaceDE w:val="0"/>
              <w:autoSpaceDN w:val="0"/>
              <w:adjustRightInd w:val="0"/>
              <w:jc w:val="center"/>
              <w:rPr>
                <w:lang w:val="en-AU"/>
              </w:rPr>
            </w:pPr>
          </w:p>
        </w:tc>
      </w:tr>
      <w:tr w:rsidR="005C27C0" w:rsidRPr="00EF468C" w:rsidTr="007C6EFE">
        <w:trPr>
          <w:jc w:val="center"/>
        </w:trPr>
        <w:tc>
          <w:tcPr>
            <w:tcW w:w="3598" w:type="dxa"/>
          </w:tcPr>
          <w:p w:rsidR="005C27C0" w:rsidRPr="00EF468C" w:rsidRDefault="005C27C0" w:rsidP="009A0F79">
            <w:pPr>
              <w:rPr>
                <w:lang w:val="en-AU"/>
              </w:rPr>
            </w:pPr>
          </w:p>
        </w:tc>
        <w:tc>
          <w:tcPr>
            <w:tcW w:w="1696" w:type="dxa"/>
          </w:tcPr>
          <w:p w:rsidR="005C27C0" w:rsidRPr="00EF468C" w:rsidRDefault="005C27C0" w:rsidP="005C27C0">
            <w:pPr>
              <w:autoSpaceDE w:val="0"/>
              <w:autoSpaceDN w:val="0"/>
              <w:adjustRightInd w:val="0"/>
              <w:jc w:val="center"/>
              <w:rPr>
                <w:lang w:val="en-AU"/>
              </w:rPr>
            </w:pPr>
          </w:p>
        </w:tc>
        <w:tc>
          <w:tcPr>
            <w:tcW w:w="1462" w:type="dxa"/>
          </w:tcPr>
          <w:p w:rsidR="005C27C0" w:rsidRPr="00EF468C" w:rsidRDefault="005C27C0" w:rsidP="005C27C0">
            <w:pPr>
              <w:autoSpaceDE w:val="0"/>
              <w:autoSpaceDN w:val="0"/>
              <w:adjustRightInd w:val="0"/>
              <w:jc w:val="center"/>
              <w:rPr>
                <w:lang w:val="en-AU"/>
              </w:rPr>
            </w:pPr>
          </w:p>
        </w:tc>
      </w:tr>
      <w:tr w:rsidR="005C27C0" w:rsidRPr="00EF468C" w:rsidTr="007C6EFE">
        <w:trPr>
          <w:jc w:val="center"/>
        </w:trPr>
        <w:tc>
          <w:tcPr>
            <w:tcW w:w="3598" w:type="dxa"/>
          </w:tcPr>
          <w:p w:rsidR="005C27C0" w:rsidRPr="00EF468C" w:rsidRDefault="005C27C0" w:rsidP="009A0F79">
            <w:pPr>
              <w:rPr>
                <w:lang w:val="en-AU"/>
              </w:rPr>
            </w:pPr>
          </w:p>
        </w:tc>
        <w:tc>
          <w:tcPr>
            <w:tcW w:w="1696" w:type="dxa"/>
          </w:tcPr>
          <w:p w:rsidR="005C27C0" w:rsidRPr="00EF468C" w:rsidRDefault="005C27C0" w:rsidP="005C27C0">
            <w:pPr>
              <w:autoSpaceDE w:val="0"/>
              <w:autoSpaceDN w:val="0"/>
              <w:adjustRightInd w:val="0"/>
              <w:jc w:val="center"/>
              <w:rPr>
                <w:lang w:val="en-AU"/>
              </w:rPr>
            </w:pPr>
          </w:p>
        </w:tc>
        <w:tc>
          <w:tcPr>
            <w:tcW w:w="1462" w:type="dxa"/>
          </w:tcPr>
          <w:p w:rsidR="005C27C0" w:rsidRPr="00EF468C" w:rsidRDefault="005C27C0" w:rsidP="005C27C0">
            <w:pPr>
              <w:autoSpaceDE w:val="0"/>
              <w:autoSpaceDN w:val="0"/>
              <w:adjustRightInd w:val="0"/>
              <w:jc w:val="center"/>
              <w:rPr>
                <w:lang w:val="en-AU"/>
              </w:rPr>
            </w:pPr>
          </w:p>
        </w:tc>
      </w:tr>
      <w:tr w:rsidR="005C27C0" w:rsidRPr="00EF468C" w:rsidTr="007C6EFE">
        <w:trPr>
          <w:jc w:val="center"/>
        </w:trPr>
        <w:tc>
          <w:tcPr>
            <w:tcW w:w="3598" w:type="dxa"/>
          </w:tcPr>
          <w:p w:rsidR="005C27C0" w:rsidRPr="00EF468C" w:rsidRDefault="005C27C0" w:rsidP="009A0F79">
            <w:pPr>
              <w:rPr>
                <w:lang w:val="en-AU"/>
              </w:rPr>
            </w:pPr>
          </w:p>
        </w:tc>
        <w:tc>
          <w:tcPr>
            <w:tcW w:w="1696" w:type="dxa"/>
          </w:tcPr>
          <w:p w:rsidR="005C27C0" w:rsidRPr="00EF468C" w:rsidRDefault="005C27C0" w:rsidP="005C27C0">
            <w:pPr>
              <w:autoSpaceDE w:val="0"/>
              <w:autoSpaceDN w:val="0"/>
              <w:adjustRightInd w:val="0"/>
              <w:jc w:val="center"/>
              <w:rPr>
                <w:lang w:val="en-AU"/>
              </w:rPr>
            </w:pPr>
          </w:p>
        </w:tc>
        <w:tc>
          <w:tcPr>
            <w:tcW w:w="1462" w:type="dxa"/>
          </w:tcPr>
          <w:p w:rsidR="005C27C0" w:rsidRPr="00EF468C" w:rsidRDefault="005C27C0" w:rsidP="005C27C0">
            <w:pPr>
              <w:autoSpaceDE w:val="0"/>
              <w:autoSpaceDN w:val="0"/>
              <w:adjustRightInd w:val="0"/>
              <w:jc w:val="center"/>
              <w:rPr>
                <w:lang w:val="en-AU"/>
              </w:rPr>
            </w:pPr>
          </w:p>
        </w:tc>
      </w:tr>
      <w:tr w:rsidR="005C27C0" w:rsidRPr="00EF468C" w:rsidTr="007C6EFE">
        <w:trPr>
          <w:jc w:val="center"/>
        </w:trPr>
        <w:tc>
          <w:tcPr>
            <w:tcW w:w="3598" w:type="dxa"/>
          </w:tcPr>
          <w:p w:rsidR="005C27C0" w:rsidRPr="00EF468C" w:rsidRDefault="005C27C0" w:rsidP="009A0F79">
            <w:pPr>
              <w:rPr>
                <w:lang w:val="en-AU"/>
              </w:rPr>
            </w:pPr>
          </w:p>
        </w:tc>
        <w:tc>
          <w:tcPr>
            <w:tcW w:w="1696" w:type="dxa"/>
          </w:tcPr>
          <w:p w:rsidR="005C27C0" w:rsidRPr="00EF468C" w:rsidRDefault="005C27C0" w:rsidP="005C27C0">
            <w:pPr>
              <w:autoSpaceDE w:val="0"/>
              <w:autoSpaceDN w:val="0"/>
              <w:adjustRightInd w:val="0"/>
              <w:jc w:val="center"/>
              <w:rPr>
                <w:lang w:val="en-AU"/>
              </w:rPr>
            </w:pPr>
          </w:p>
        </w:tc>
        <w:tc>
          <w:tcPr>
            <w:tcW w:w="1462" w:type="dxa"/>
          </w:tcPr>
          <w:p w:rsidR="005C27C0" w:rsidRPr="00EF468C" w:rsidRDefault="005C27C0" w:rsidP="005C27C0">
            <w:pPr>
              <w:autoSpaceDE w:val="0"/>
              <w:autoSpaceDN w:val="0"/>
              <w:adjustRightInd w:val="0"/>
              <w:jc w:val="center"/>
              <w:rPr>
                <w:lang w:val="en-AU"/>
              </w:rPr>
            </w:pPr>
          </w:p>
        </w:tc>
      </w:tr>
      <w:tr w:rsidR="005C27C0" w:rsidRPr="00EF468C" w:rsidTr="007C6EFE">
        <w:trPr>
          <w:jc w:val="center"/>
        </w:trPr>
        <w:tc>
          <w:tcPr>
            <w:tcW w:w="3598" w:type="dxa"/>
          </w:tcPr>
          <w:p w:rsidR="005C27C0" w:rsidRPr="00EF468C" w:rsidRDefault="005C27C0" w:rsidP="009A0F79">
            <w:pPr>
              <w:rPr>
                <w:lang w:val="en-AU"/>
              </w:rPr>
            </w:pPr>
          </w:p>
        </w:tc>
        <w:tc>
          <w:tcPr>
            <w:tcW w:w="1696" w:type="dxa"/>
          </w:tcPr>
          <w:p w:rsidR="005C27C0" w:rsidRPr="00EF468C" w:rsidRDefault="005C27C0" w:rsidP="005C27C0">
            <w:pPr>
              <w:autoSpaceDE w:val="0"/>
              <w:autoSpaceDN w:val="0"/>
              <w:adjustRightInd w:val="0"/>
              <w:jc w:val="center"/>
              <w:rPr>
                <w:lang w:val="en-AU"/>
              </w:rPr>
            </w:pPr>
          </w:p>
        </w:tc>
        <w:tc>
          <w:tcPr>
            <w:tcW w:w="1462" w:type="dxa"/>
          </w:tcPr>
          <w:p w:rsidR="005C27C0" w:rsidRPr="00EF468C" w:rsidRDefault="005C27C0" w:rsidP="005C27C0">
            <w:pPr>
              <w:autoSpaceDE w:val="0"/>
              <w:autoSpaceDN w:val="0"/>
              <w:adjustRightInd w:val="0"/>
              <w:jc w:val="center"/>
              <w:rPr>
                <w:lang w:val="en-AU"/>
              </w:rPr>
            </w:pPr>
          </w:p>
        </w:tc>
      </w:tr>
    </w:tbl>
    <w:p w:rsidR="005C27C0" w:rsidRPr="00EF468C" w:rsidRDefault="005C27C0">
      <w:pPr>
        <w:rPr>
          <w:lang w:val="en-AU"/>
        </w:rPr>
      </w:pPr>
      <w:r w:rsidRPr="00EF468C">
        <w:rPr>
          <w:lang w:val="en-AU"/>
        </w:rPr>
        <w:br w:type="page"/>
      </w:r>
    </w:p>
    <w:p w:rsidR="004A11DF" w:rsidRPr="00EF468C" w:rsidRDefault="004A11DF" w:rsidP="004A11DF">
      <w:pPr>
        <w:jc w:val="center"/>
        <w:outlineLvl w:val="0"/>
        <w:rPr>
          <w:lang w:val="en-AU"/>
        </w:rPr>
      </w:pPr>
      <w:r w:rsidRPr="00EF468C">
        <w:rPr>
          <w:lang w:val="en-AU"/>
        </w:rPr>
        <w:lastRenderedPageBreak/>
        <w:t>Table 2</w:t>
      </w:r>
    </w:p>
    <w:p w:rsidR="004A11DF" w:rsidRPr="00EF468C" w:rsidRDefault="004A11DF" w:rsidP="004A11DF">
      <w:pPr>
        <w:jc w:val="center"/>
        <w:rPr>
          <w:lang w:val="en-AU"/>
        </w:rPr>
      </w:pPr>
      <w:r w:rsidRPr="00EF468C">
        <w:rPr>
          <w:lang w:val="en-AU"/>
        </w:rPr>
        <w:t>Means and standard deviations of all measures (</w:t>
      </w:r>
      <w:r w:rsidRPr="00EF468C">
        <w:rPr>
          <w:i/>
          <w:lang w:val="en-AU"/>
        </w:rPr>
        <w:t>N</w:t>
      </w:r>
      <w:r w:rsidRPr="00EF468C">
        <w:rPr>
          <w:lang w:val="en-AU"/>
        </w:rPr>
        <w:t>=72)</w:t>
      </w:r>
    </w:p>
    <w:tbl>
      <w:tblPr>
        <w:tblpPr w:leftFromText="180" w:rightFromText="180" w:vertAnchor="text" w:horzAnchor="margin" w:tblpXSpec="center" w:tblpY="205"/>
        <w:tblW w:w="0" w:type="auto"/>
        <w:tblBorders>
          <w:top w:val="single" w:sz="2" w:space="0" w:color="000000"/>
          <w:bottom w:val="single" w:sz="2" w:space="0" w:color="000000"/>
          <w:insideH w:val="single" w:sz="2" w:space="0" w:color="000000"/>
        </w:tblBorders>
        <w:tblLayout w:type="fixed"/>
        <w:tblCellMar>
          <w:left w:w="93" w:type="dxa"/>
          <w:right w:w="93" w:type="dxa"/>
        </w:tblCellMar>
        <w:tblLook w:val="0000" w:firstRow="0" w:lastRow="0" w:firstColumn="0" w:lastColumn="0" w:noHBand="0" w:noVBand="0"/>
      </w:tblPr>
      <w:tblGrid>
        <w:gridCol w:w="1511"/>
        <w:gridCol w:w="1276"/>
        <w:gridCol w:w="851"/>
      </w:tblGrid>
      <w:tr w:rsidR="004A11DF" w:rsidRPr="00EF468C" w:rsidTr="007C6EFE">
        <w:trPr>
          <w:trHeight w:val="287"/>
        </w:trPr>
        <w:tc>
          <w:tcPr>
            <w:tcW w:w="1511"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Variable</w:t>
            </w:r>
          </w:p>
        </w:tc>
        <w:tc>
          <w:tcPr>
            <w:tcW w:w="1276"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jc w:val="center"/>
              <w:rPr>
                <w:i/>
                <w:sz w:val="22"/>
                <w:szCs w:val="22"/>
                <w:lang w:val="en-AU"/>
              </w:rPr>
            </w:pPr>
            <w:r w:rsidRPr="00EF468C">
              <w:rPr>
                <w:i/>
                <w:sz w:val="22"/>
                <w:szCs w:val="22"/>
                <w:lang w:val="en-AU"/>
              </w:rPr>
              <w:t>M</w:t>
            </w:r>
          </w:p>
        </w:tc>
        <w:tc>
          <w:tcPr>
            <w:tcW w:w="851"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jc w:val="center"/>
              <w:rPr>
                <w:i/>
                <w:sz w:val="22"/>
                <w:szCs w:val="22"/>
                <w:lang w:val="en-AU"/>
              </w:rPr>
            </w:pPr>
            <w:r w:rsidRPr="00EF468C">
              <w:rPr>
                <w:i/>
                <w:sz w:val="22"/>
                <w:szCs w:val="22"/>
                <w:lang w:val="en-AU"/>
              </w:rPr>
              <w:t>SD</w:t>
            </w:r>
          </w:p>
        </w:tc>
      </w:tr>
      <w:tr w:rsidR="004A11DF" w:rsidRPr="00EF468C" w:rsidTr="007C6EFE">
        <w:trPr>
          <w:trHeight w:val="287"/>
        </w:trPr>
        <w:tc>
          <w:tcPr>
            <w:tcW w:w="1511" w:type="dxa"/>
            <w:tcBorders>
              <w:bottom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GAD-Q-IV</w:t>
            </w:r>
            <w:r w:rsidRPr="00EF468C">
              <w:rPr>
                <w:rStyle w:val="FootnoteReference"/>
                <w:sz w:val="22"/>
                <w:szCs w:val="22"/>
                <w:lang w:val="en-AU"/>
              </w:rPr>
              <w:footnoteReference w:id="1"/>
            </w:r>
          </w:p>
        </w:tc>
        <w:tc>
          <w:tcPr>
            <w:tcW w:w="1276" w:type="dxa"/>
            <w:tcBorders>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6.19</w:t>
            </w:r>
          </w:p>
        </w:tc>
        <w:tc>
          <w:tcPr>
            <w:tcW w:w="851" w:type="dxa"/>
            <w:tcBorders>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2.694</w:t>
            </w:r>
          </w:p>
        </w:tc>
      </w:tr>
      <w:tr w:rsidR="004A11DF" w:rsidRPr="00EF468C" w:rsidTr="007C6EFE">
        <w:trPr>
          <w:trHeight w:val="287"/>
        </w:trPr>
        <w:tc>
          <w:tcPr>
            <w:tcW w:w="1511" w:type="dxa"/>
            <w:tcBorders>
              <w:top w:val="nil"/>
              <w:bottom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PSWQ</w:t>
            </w:r>
            <w:r w:rsidRPr="00EF468C">
              <w:rPr>
                <w:rStyle w:val="FootnoteReference"/>
                <w:sz w:val="22"/>
                <w:szCs w:val="22"/>
                <w:lang w:val="en-AU"/>
              </w:rPr>
              <w:footnoteReference w:id="2"/>
            </w:r>
          </w:p>
        </w:tc>
        <w:tc>
          <w:tcPr>
            <w:tcW w:w="1276"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59.77</w:t>
            </w:r>
          </w:p>
        </w:tc>
        <w:tc>
          <w:tcPr>
            <w:tcW w:w="851"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12.126</w:t>
            </w:r>
          </w:p>
        </w:tc>
      </w:tr>
      <w:tr w:rsidR="004A11DF" w:rsidRPr="00EF468C" w:rsidTr="007C6EFE">
        <w:trPr>
          <w:trHeight w:val="287"/>
        </w:trPr>
        <w:tc>
          <w:tcPr>
            <w:tcW w:w="1511" w:type="dxa"/>
            <w:tcBorders>
              <w:top w:val="nil"/>
              <w:bottom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ASI</w:t>
            </w:r>
            <w:r w:rsidRPr="00EF468C">
              <w:rPr>
                <w:rStyle w:val="FootnoteReference"/>
                <w:sz w:val="22"/>
                <w:szCs w:val="22"/>
                <w:lang w:val="en-AU"/>
              </w:rPr>
              <w:footnoteReference w:id="3"/>
            </w:r>
          </w:p>
        </w:tc>
        <w:tc>
          <w:tcPr>
            <w:tcW w:w="1276"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47.67</w:t>
            </w:r>
          </w:p>
        </w:tc>
        <w:tc>
          <w:tcPr>
            <w:tcW w:w="851"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12.695</w:t>
            </w:r>
          </w:p>
        </w:tc>
      </w:tr>
      <w:tr w:rsidR="004A11DF" w:rsidRPr="00EF468C" w:rsidTr="007C6EFE">
        <w:trPr>
          <w:trHeight w:val="287"/>
        </w:trPr>
        <w:tc>
          <w:tcPr>
            <w:tcW w:w="1511" w:type="dxa"/>
            <w:tcBorders>
              <w:top w:val="nil"/>
              <w:bottom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IPPA - MA</w:t>
            </w:r>
            <w:r w:rsidRPr="00EF468C">
              <w:rPr>
                <w:rStyle w:val="FootnoteReference"/>
                <w:sz w:val="22"/>
                <w:szCs w:val="22"/>
                <w:lang w:val="en-AU"/>
              </w:rPr>
              <w:footnoteReference w:customMarkFollows="1" w:id="4"/>
              <w:sym w:font="Symbol" w:char="F079"/>
            </w:r>
          </w:p>
        </w:tc>
        <w:tc>
          <w:tcPr>
            <w:tcW w:w="1276"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15.28</w:t>
            </w:r>
          </w:p>
        </w:tc>
        <w:tc>
          <w:tcPr>
            <w:tcW w:w="851"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4.951</w:t>
            </w:r>
          </w:p>
        </w:tc>
      </w:tr>
      <w:tr w:rsidR="004A11DF" w:rsidRPr="00EF468C" w:rsidTr="007C6EFE">
        <w:trPr>
          <w:trHeight w:val="287"/>
        </w:trPr>
        <w:tc>
          <w:tcPr>
            <w:tcW w:w="1511" w:type="dxa"/>
            <w:tcBorders>
              <w:top w:val="nil"/>
              <w:bottom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IPPA - FA</w:t>
            </w:r>
            <w:r w:rsidRPr="00EF468C">
              <w:rPr>
                <w:rStyle w:val="FootnoteReference"/>
                <w:sz w:val="22"/>
                <w:szCs w:val="22"/>
                <w:lang w:val="en-AU"/>
              </w:rPr>
              <w:footnoteReference w:customMarkFollows="1" w:id="5"/>
              <w:sym w:font="Symbol" w:char="F07A"/>
            </w:r>
          </w:p>
        </w:tc>
        <w:tc>
          <w:tcPr>
            <w:tcW w:w="1276"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15.75</w:t>
            </w:r>
          </w:p>
        </w:tc>
        <w:tc>
          <w:tcPr>
            <w:tcW w:w="851" w:type="dxa"/>
            <w:tcBorders>
              <w:top w:val="nil"/>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5.230</w:t>
            </w:r>
          </w:p>
        </w:tc>
      </w:tr>
      <w:tr w:rsidR="004A11DF" w:rsidRPr="00EF468C" w:rsidTr="007C6EFE">
        <w:trPr>
          <w:trHeight w:val="287"/>
        </w:trPr>
        <w:tc>
          <w:tcPr>
            <w:tcW w:w="1511" w:type="dxa"/>
            <w:tcBorders>
              <w:top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IPPA - PA</w:t>
            </w:r>
            <w:r w:rsidRPr="00EF468C">
              <w:rPr>
                <w:rStyle w:val="FootnoteReference"/>
                <w:sz w:val="22"/>
                <w:szCs w:val="22"/>
                <w:lang w:val="en-AU"/>
              </w:rPr>
              <w:footnoteReference w:customMarkFollows="1" w:id="6"/>
              <w:sym w:font="Symbol" w:char="F0B6"/>
            </w:r>
          </w:p>
        </w:tc>
        <w:tc>
          <w:tcPr>
            <w:tcW w:w="1276"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18.22</w:t>
            </w:r>
          </w:p>
        </w:tc>
        <w:tc>
          <w:tcPr>
            <w:tcW w:w="851"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4.242</w:t>
            </w:r>
          </w:p>
        </w:tc>
      </w:tr>
    </w:tbl>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7C6EFE" w:rsidRPr="00EF468C" w:rsidRDefault="007C6EFE">
      <w:pPr>
        <w:rPr>
          <w:lang w:val="en-AU"/>
        </w:rPr>
      </w:pPr>
      <w:r w:rsidRPr="00EF468C">
        <w:rPr>
          <w:lang w:val="en-AU"/>
        </w:rPr>
        <w:br w:type="page"/>
      </w:r>
    </w:p>
    <w:p w:rsidR="004A11DF" w:rsidRPr="00EF468C" w:rsidRDefault="004A11DF" w:rsidP="004A11DF">
      <w:pPr>
        <w:jc w:val="center"/>
        <w:outlineLvl w:val="0"/>
        <w:rPr>
          <w:lang w:val="en-AU"/>
        </w:rPr>
      </w:pPr>
      <w:r w:rsidRPr="00EF468C">
        <w:rPr>
          <w:lang w:val="en-AU"/>
        </w:rPr>
        <w:lastRenderedPageBreak/>
        <w:t>Table 3</w:t>
      </w:r>
    </w:p>
    <w:p w:rsidR="004A11DF" w:rsidRPr="00EF468C" w:rsidRDefault="004A11DF" w:rsidP="004A11DF">
      <w:pPr>
        <w:jc w:val="center"/>
        <w:outlineLvl w:val="0"/>
        <w:rPr>
          <w:lang w:val="en-AU"/>
        </w:rPr>
      </w:pPr>
      <w:r w:rsidRPr="00EF468C">
        <w:rPr>
          <w:rFonts w:eastAsia="MinionPro-Regular"/>
          <w:lang w:val="en-AU"/>
        </w:rPr>
        <w:t>Pearson’s correlation coefficients among the measures</w:t>
      </w:r>
    </w:p>
    <w:p w:rsidR="004A11DF" w:rsidRPr="00EF468C" w:rsidRDefault="004A11DF" w:rsidP="004A11DF">
      <w:pPr>
        <w:widowControl w:val="0"/>
        <w:tabs>
          <w:tab w:val="center" w:pos="4881"/>
        </w:tabs>
        <w:autoSpaceDE w:val="0"/>
        <w:autoSpaceDN w:val="0"/>
        <w:adjustRightInd w:val="0"/>
        <w:rPr>
          <w:b/>
          <w:bCs/>
          <w:sz w:val="22"/>
          <w:szCs w:val="22"/>
          <w:lang w:val="en-AU"/>
        </w:rPr>
      </w:pPr>
    </w:p>
    <w:tbl>
      <w:tblPr>
        <w:tblW w:w="0" w:type="auto"/>
        <w:jc w:val="center"/>
        <w:tblInd w:w="93" w:type="dxa"/>
        <w:tblBorders>
          <w:top w:val="single" w:sz="2" w:space="0" w:color="000000"/>
          <w:bottom w:val="single" w:sz="2" w:space="0" w:color="000000"/>
        </w:tblBorders>
        <w:tblLayout w:type="fixed"/>
        <w:tblCellMar>
          <w:left w:w="93" w:type="dxa"/>
          <w:right w:w="93" w:type="dxa"/>
        </w:tblCellMar>
        <w:tblLook w:val="0000" w:firstRow="0" w:lastRow="0" w:firstColumn="0" w:lastColumn="0" w:noHBand="0" w:noVBand="0"/>
      </w:tblPr>
      <w:tblGrid>
        <w:gridCol w:w="1490"/>
        <w:gridCol w:w="978"/>
        <w:gridCol w:w="995"/>
        <w:gridCol w:w="1256"/>
        <w:gridCol w:w="1256"/>
        <w:gridCol w:w="1256"/>
      </w:tblGrid>
      <w:tr w:rsidR="004A11DF" w:rsidRPr="00EF468C" w:rsidTr="007C6EFE">
        <w:trPr>
          <w:trHeight w:val="291"/>
          <w:jc w:val="center"/>
        </w:trPr>
        <w:tc>
          <w:tcPr>
            <w:tcW w:w="1490"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Variable</w:t>
            </w:r>
          </w:p>
        </w:tc>
        <w:tc>
          <w:tcPr>
            <w:tcW w:w="978"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PSWQ</w:t>
            </w:r>
          </w:p>
        </w:tc>
        <w:tc>
          <w:tcPr>
            <w:tcW w:w="995"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ASI</w:t>
            </w:r>
          </w:p>
        </w:tc>
        <w:tc>
          <w:tcPr>
            <w:tcW w:w="1256" w:type="dxa"/>
            <w:tcBorders>
              <w:bottom w:val="single" w:sz="2" w:space="0" w:color="000000"/>
            </w:tcBorders>
            <w:shd w:val="clear" w:color="000000" w:fill="FFFFFF"/>
            <w:vAlign w:val="bottom"/>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IPPA - MA</w:t>
            </w:r>
          </w:p>
        </w:tc>
        <w:tc>
          <w:tcPr>
            <w:tcW w:w="1256" w:type="dxa"/>
            <w:tcBorders>
              <w:bottom w:val="single" w:sz="2" w:space="0" w:color="000000"/>
            </w:tcBorders>
            <w:shd w:val="clear" w:color="000000" w:fill="FFFFFF"/>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IPPA - FA</w:t>
            </w:r>
          </w:p>
        </w:tc>
        <w:tc>
          <w:tcPr>
            <w:tcW w:w="1256" w:type="dxa"/>
            <w:tcBorders>
              <w:bottom w:val="single" w:sz="2" w:space="0" w:color="000000"/>
            </w:tcBorders>
            <w:shd w:val="clear" w:color="000000" w:fill="FFFFFF"/>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IPPA – PA</w:t>
            </w:r>
            <w:r w:rsidR="007C6EFE" w:rsidRPr="00EF468C">
              <w:rPr>
                <w:rStyle w:val="FootnoteReference"/>
                <w:sz w:val="22"/>
                <w:szCs w:val="22"/>
                <w:lang w:val="en-AU"/>
              </w:rPr>
              <w:footnoteReference w:customMarkFollows="1" w:id="7"/>
              <w:sym w:font="Symbol" w:char="F0B6"/>
            </w:r>
          </w:p>
        </w:tc>
      </w:tr>
      <w:tr w:rsidR="004A11DF" w:rsidRPr="00EF468C" w:rsidTr="007C6EFE">
        <w:trPr>
          <w:trHeight w:val="291"/>
          <w:jc w:val="center"/>
        </w:trPr>
        <w:tc>
          <w:tcPr>
            <w:tcW w:w="1490" w:type="dxa"/>
            <w:tcBorders>
              <w:top w:val="single" w:sz="2" w:space="0" w:color="000000"/>
              <w:bottom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GAD-Q-IV</w:t>
            </w:r>
            <w:r w:rsidRPr="00EF468C">
              <w:rPr>
                <w:rStyle w:val="FootnoteReference"/>
                <w:sz w:val="22"/>
                <w:szCs w:val="22"/>
                <w:lang w:val="en-AU"/>
              </w:rPr>
              <w:footnoteReference w:id="8"/>
            </w:r>
          </w:p>
        </w:tc>
        <w:tc>
          <w:tcPr>
            <w:tcW w:w="978" w:type="dxa"/>
            <w:tcBorders>
              <w:top w:val="single" w:sz="2" w:space="0" w:color="000000"/>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.74**</w:t>
            </w:r>
          </w:p>
        </w:tc>
        <w:tc>
          <w:tcPr>
            <w:tcW w:w="995" w:type="dxa"/>
            <w:tcBorders>
              <w:top w:val="single" w:sz="2" w:space="0" w:color="000000"/>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.65**</w:t>
            </w:r>
          </w:p>
        </w:tc>
        <w:tc>
          <w:tcPr>
            <w:tcW w:w="1256" w:type="dxa"/>
            <w:tcBorders>
              <w:top w:val="single" w:sz="2" w:space="0" w:color="000000"/>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.15</w:t>
            </w:r>
          </w:p>
        </w:tc>
        <w:tc>
          <w:tcPr>
            <w:tcW w:w="1256" w:type="dxa"/>
            <w:tcBorders>
              <w:top w:val="single" w:sz="2" w:space="0" w:color="000000"/>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.06</w:t>
            </w:r>
          </w:p>
        </w:tc>
        <w:tc>
          <w:tcPr>
            <w:tcW w:w="1256" w:type="dxa"/>
            <w:tcBorders>
              <w:top w:val="single" w:sz="2" w:space="0" w:color="000000"/>
              <w:bottom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.41**</w:t>
            </w:r>
          </w:p>
        </w:tc>
      </w:tr>
      <w:tr w:rsidR="004A11DF" w:rsidRPr="00EF468C" w:rsidTr="007C6EFE">
        <w:trPr>
          <w:trHeight w:val="291"/>
          <w:jc w:val="center"/>
        </w:trPr>
        <w:tc>
          <w:tcPr>
            <w:tcW w:w="1490" w:type="dxa"/>
            <w:tcBorders>
              <w:top w:val="nil"/>
            </w:tcBorders>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PSWQ</w:t>
            </w:r>
            <w:r w:rsidRPr="00EF468C">
              <w:rPr>
                <w:rStyle w:val="FootnoteReference"/>
                <w:sz w:val="22"/>
                <w:szCs w:val="22"/>
                <w:lang w:val="en-AU"/>
              </w:rPr>
              <w:footnoteReference w:id="9"/>
            </w:r>
          </w:p>
        </w:tc>
        <w:tc>
          <w:tcPr>
            <w:tcW w:w="978"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p>
        </w:tc>
        <w:tc>
          <w:tcPr>
            <w:tcW w:w="995"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.57**</w:t>
            </w:r>
          </w:p>
        </w:tc>
        <w:tc>
          <w:tcPr>
            <w:tcW w:w="1256"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-.04</w:t>
            </w:r>
          </w:p>
        </w:tc>
        <w:tc>
          <w:tcPr>
            <w:tcW w:w="1256"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.17</w:t>
            </w:r>
          </w:p>
        </w:tc>
        <w:tc>
          <w:tcPr>
            <w:tcW w:w="1256" w:type="dxa"/>
            <w:tcBorders>
              <w:top w:val="nil"/>
            </w:tcBorders>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.42**</w:t>
            </w:r>
          </w:p>
        </w:tc>
      </w:tr>
      <w:tr w:rsidR="004A11DF" w:rsidRPr="00EF468C" w:rsidTr="007C6EFE">
        <w:trPr>
          <w:trHeight w:val="291"/>
          <w:jc w:val="center"/>
        </w:trPr>
        <w:tc>
          <w:tcPr>
            <w:tcW w:w="1490" w:type="dxa"/>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ASI</w:t>
            </w:r>
            <w:r w:rsidRPr="00EF468C">
              <w:rPr>
                <w:rStyle w:val="FootnoteReference"/>
                <w:sz w:val="22"/>
                <w:szCs w:val="22"/>
                <w:lang w:val="en-AU"/>
              </w:rPr>
              <w:footnoteReference w:id="10"/>
            </w:r>
          </w:p>
        </w:tc>
        <w:tc>
          <w:tcPr>
            <w:tcW w:w="978"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995"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.04</w:t>
            </w: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.14</w:t>
            </w: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.43**</w:t>
            </w:r>
          </w:p>
        </w:tc>
      </w:tr>
      <w:tr w:rsidR="004A11DF" w:rsidRPr="00EF468C" w:rsidTr="007C6EFE">
        <w:trPr>
          <w:trHeight w:val="291"/>
          <w:jc w:val="center"/>
        </w:trPr>
        <w:tc>
          <w:tcPr>
            <w:tcW w:w="1490" w:type="dxa"/>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IPPA - MA</w:t>
            </w:r>
            <w:r w:rsidRPr="00EF468C">
              <w:rPr>
                <w:rStyle w:val="FootnoteReference"/>
                <w:sz w:val="22"/>
                <w:szCs w:val="22"/>
                <w:lang w:val="en-AU"/>
              </w:rPr>
              <w:footnoteReference w:customMarkFollows="1" w:id="11"/>
              <w:sym w:font="Symbol" w:char="F07A"/>
            </w:r>
          </w:p>
        </w:tc>
        <w:tc>
          <w:tcPr>
            <w:tcW w:w="978"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995"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.19</w:t>
            </w: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b/>
                <w:sz w:val="22"/>
                <w:szCs w:val="22"/>
                <w:lang w:val="en-AU"/>
              </w:rPr>
            </w:pPr>
            <w:r w:rsidRPr="00EF468C">
              <w:rPr>
                <w:b/>
                <w:sz w:val="22"/>
                <w:szCs w:val="22"/>
                <w:lang w:val="en-AU"/>
              </w:rPr>
              <w:t>.32**</w:t>
            </w:r>
          </w:p>
        </w:tc>
      </w:tr>
      <w:tr w:rsidR="004A11DF" w:rsidRPr="00EF468C" w:rsidTr="007C6EFE">
        <w:trPr>
          <w:trHeight w:val="291"/>
          <w:jc w:val="center"/>
        </w:trPr>
        <w:tc>
          <w:tcPr>
            <w:tcW w:w="1490" w:type="dxa"/>
            <w:shd w:val="clear" w:color="000000" w:fill="FFFFFF"/>
          </w:tcPr>
          <w:p w:rsidR="004A11DF" w:rsidRPr="00EF468C" w:rsidRDefault="004A11DF" w:rsidP="007C6EFE">
            <w:pPr>
              <w:widowControl w:val="0"/>
              <w:autoSpaceDE w:val="0"/>
              <w:autoSpaceDN w:val="0"/>
              <w:adjustRightInd w:val="0"/>
              <w:spacing w:line="360" w:lineRule="auto"/>
              <w:rPr>
                <w:sz w:val="22"/>
                <w:szCs w:val="22"/>
                <w:lang w:val="en-AU"/>
              </w:rPr>
            </w:pPr>
            <w:r w:rsidRPr="00EF468C">
              <w:rPr>
                <w:sz w:val="22"/>
                <w:szCs w:val="22"/>
                <w:lang w:val="en-AU"/>
              </w:rPr>
              <w:t>IPPA - FA</w:t>
            </w:r>
            <w:r w:rsidRPr="00EF468C">
              <w:rPr>
                <w:rStyle w:val="FootnoteReference"/>
                <w:sz w:val="22"/>
                <w:szCs w:val="22"/>
                <w:lang w:val="en-AU"/>
              </w:rPr>
              <w:footnoteReference w:customMarkFollows="1" w:id="12"/>
              <w:sym w:font="Symbol" w:char="F0B6"/>
            </w:r>
          </w:p>
        </w:tc>
        <w:tc>
          <w:tcPr>
            <w:tcW w:w="978"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995"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p>
        </w:tc>
        <w:tc>
          <w:tcPr>
            <w:tcW w:w="1256" w:type="dxa"/>
            <w:shd w:val="clear" w:color="000000" w:fill="FFFFFF"/>
            <w:vAlign w:val="center"/>
          </w:tcPr>
          <w:p w:rsidR="004A11DF" w:rsidRPr="00EF468C" w:rsidRDefault="004A11DF" w:rsidP="007C6EFE">
            <w:pPr>
              <w:widowControl w:val="0"/>
              <w:autoSpaceDE w:val="0"/>
              <w:autoSpaceDN w:val="0"/>
              <w:adjustRightInd w:val="0"/>
              <w:spacing w:line="360" w:lineRule="auto"/>
              <w:jc w:val="center"/>
              <w:rPr>
                <w:sz w:val="22"/>
                <w:szCs w:val="22"/>
                <w:lang w:val="en-AU"/>
              </w:rPr>
            </w:pPr>
            <w:r w:rsidRPr="00EF468C">
              <w:rPr>
                <w:sz w:val="22"/>
                <w:szCs w:val="22"/>
                <w:lang w:val="en-AU"/>
              </w:rPr>
              <w:t>.26</w:t>
            </w:r>
          </w:p>
        </w:tc>
      </w:tr>
    </w:tbl>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autoSpaceDE w:val="0"/>
        <w:autoSpaceDN w:val="0"/>
        <w:adjustRightInd w:val="0"/>
        <w:rPr>
          <w:lang w:val="en-AU"/>
        </w:rPr>
      </w:pPr>
    </w:p>
    <w:p w:rsidR="004A11DF" w:rsidRPr="00EF468C" w:rsidRDefault="004A11DF" w:rsidP="004A11DF">
      <w:pPr>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3A41C8">
      <w:pPr>
        <w:autoSpaceDE w:val="0"/>
        <w:autoSpaceDN w:val="0"/>
        <w:adjustRightInd w:val="0"/>
        <w:rPr>
          <w:lang w:val="en-AU"/>
        </w:rPr>
      </w:pPr>
    </w:p>
    <w:p w:rsidR="004A11DF" w:rsidRPr="00EF468C" w:rsidRDefault="004A11DF" w:rsidP="004A11DF">
      <w:pPr>
        <w:widowControl w:val="0"/>
        <w:autoSpaceDE w:val="0"/>
        <w:autoSpaceDN w:val="0"/>
        <w:adjustRightInd w:val="0"/>
        <w:jc w:val="center"/>
        <w:outlineLvl w:val="0"/>
        <w:rPr>
          <w:lang w:val="en-AU"/>
        </w:rPr>
      </w:pPr>
      <w:r w:rsidRPr="00EF468C">
        <w:rPr>
          <w:lang w:val="en-AU"/>
        </w:rPr>
        <w:t>Table 4</w:t>
      </w:r>
    </w:p>
    <w:p w:rsidR="004A11DF" w:rsidRPr="00EF468C" w:rsidRDefault="004A11DF" w:rsidP="004A11DF">
      <w:pPr>
        <w:widowControl w:val="0"/>
        <w:autoSpaceDE w:val="0"/>
        <w:autoSpaceDN w:val="0"/>
        <w:adjustRightInd w:val="0"/>
        <w:jc w:val="center"/>
        <w:rPr>
          <w:lang w:val="en-AU"/>
        </w:rPr>
      </w:pPr>
      <w:r w:rsidRPr="00EF468C">
        <w:rPr>
          <w:lang w:val="en-AU"/>
        </w:rPr>
        <w:t>Mediator regression analyses testing the mediating effect of anxiety sensitivity on relations between peer alienation and current worry and generalized anxiety disorder symptoms</w:t>
      </w:r>
      <w:r w:rsidR="00A56DCE" w:rsidRPr="00EF468C">
        <w:rPr>
          <w:lang w:val="en-AU"/>
        </w:rPr>
        <w:t xml:space="preserve"> (</w:t>
      </w:r>
      <w:r w:rsidR="00A56DCE" w:rsidRPr="00EF468C">
        <w:rPr>
          <w:i/>
          <w:lang w:val="en-AU"/>
        </w:rPr>
        <w:t>N</w:t>
      </w:r>
      <w:r w:rsidR="00A56DCE" w:rsidRPr="00EF468C">
        <w:rPr>
          <w:lang w:val="en-AU"/>
        </w:rPr>
        <w:t xml:space="preserve"> = 72)</w:t>
      </w:r>
    </w:p>
    <w:p w:rsidR="004A11DF" w:rsidRPr="00EF468C" w:rsidRDefault="004A11DF" w:rsidP="004A11DF">
      <w:pPr>
        <w:widowControl w:val="0"/>
        <w:autoSpaceDE w:val="0"/>
        <w:autoSpaceDN w:val="0"/>
        <w:adjustRightInd w:val="0"/>
        <w:jc w:val="center"/>
        <w:rPr>
          <w:sz w:val="22"/>
          <w:szCs w:val="22"/>
          <w:lang w:val="en-AU"/>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349"/>
        <w:gridCol w:w="1334"/>
        <w:gridCol w:w="952"/>
        <w:gridCol w:w="961"/>
        <w:gridCol w:w="978"/>
        <w:gridCol w:w="996"/>
      </w:tblGrid>
      <w:tr w:rsidR="004A11DF" w:rsidRPr="00EF468C">
        <w:trPr>
          <w:jc w:val="center"/>
        </w:trPr>
        <w:tc>
          <w:tcPr>
            <w:tcW w:w="1025" w:type="dxa"/>
            <w:tcBorders>
              <w:top w:val="single" w:sz="8" w:space="0" w:color="auto"/>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Step</w:t>
            </w:r>
          </w:p>
        </w:tc>
        <w:tc>
          <w:tcPr>
            <w:tcW w:w="1349" w:type="dxa"/>
            <w:tcBorders>
              <w:top w:val="single" w:sz="8" w:space="0" w:color="auto"/>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Predictor(s)</w:t>
            </w:r>
          </w:p>
        </w:tc>
        <w:tc>
          <w:tcPr>
            <w:tcW w:w="1334" w:type="dxa"/>
            <w:tcBorders>
              <w:top w:val="single" w:sz="8" w:space="0" w:color="auto"/>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Criteria</w:t>
            </w:r>
          </w:p>
        </w:tc>
        <w:tc>
          <w:tcPr>
            <w:tcW w:w="952" w:type="dxa"/>
            <w:tcBorders>
              <w:top w:val="single" w:sz="8" w:space="0" w:color="auto"/>
              <w:left w:val="nil"/>
              <w:bottom w:val="single" w:sz="8" w:space="0" w:color="auto"/>
              <w:right w:val="nil"/>
            </w:tcBorders>
          </w:tcPr>
          <w:p w:rsidR="004A11DF" w:rsidRPr="00EF468C" w:rsidRDefault="00A56DCE" w:rsidP="00A56DCE">
            <w:pPr>
              <w:spacing w:line="360" w:lineRule="auto"/>
              <w:jc w:val="center"/>
              <w:rPr>
                <w:sz w:val="22"/>
                <w:szCs w:val="22"/>
                <w:lang w:val="en-AU"/>
              </w:rPr>
            </w:pPr>
            <w:r w:rsidRPr="00EF468C">
              <w:rPr>
                <w:sz w:val="22"/>
                <w:szCs w:val="22"/>
                <w:lang w:val="en-AU"/>
              </w:rPr>
              <w:t>β</w:t>
            </w:r>
          </w:p>
        </w:tc>
        <w:tc>
          <w:tcPr>
            <w:tcW w:w="961"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sz w:val="22"/>
                <w:szCs w:val="22"/>
                <w:lang w:val="en-AU"/>
              </w:rPr>
            </w:pPr>
            <w:r w:rsidRPr="00EF468C">
              <w:rPr>
                <w:sz w:val="22"/>
                <w:szCs w:val="22"/>
                <w:lang w:val="en-AU"/>
              </w:rPr>
              <w:t>R</w:t>
            </w:r>
          </w:p>
        </w:tc>
        <w:tc>
          <w:tcPr>
            <w:tcW w:w="978"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sz w:val="22"/>
                <w:szCs w:val="22"/>
                <w:lang w:val="en-AU"/>
              </w:rPr>
            </w:pPr>
            <w:r w:rsidRPr="00EF468C">
              <w:rPr>
                <w:sz w:val="22"/>
                <w:szCs w:val="22"/>
                <w:lang w:val="en-AU"/>
              </w:rPr>
              <w:t>R</w:t>
            </w:r>
            <w:r w:rsidRPr="00EF468C">
              <w:rPr>
                <w:sz w:val="22"/>
                <w:szCs w:val="22"/>
                <w:vertAlign w:val="subscript"/>
                <w:lang w:val="en-AU"/>
              </w:rPr>
              <w:t>c</w:t>
            </w:r>
            <w:r w:rsidRPr="00EF468C">
              <w:rPr>
                <w:sz w:val="22"/>
                <w:szCs w:val="22"/>
                <w:lang w:val="en-AU"/>
              </w:rPr>
              <w:t>²</w:t>
            </w:r>
          </w:p>
        </w:tc>
        <w:tc>
          <w:tcPr>
            <w:tcW w:w="996"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sz w:val="22"/>
                <w:szCs w:val="22"/>
                <w:lang w:val="en-AU"/>
              </w:rPr>
            </w:pPr>
            <w:r w:rsidRPr="00EF468C">
              <w:rPr>
                <w:sz w:val="22"/>
                <w:szCs w:val="22"/>
                <w:lang w:val="en-AU"/>
              </w:rPr>
              <w:t>F</w:t>
            </w:r>
          </w:p>
        </w:tc>
      </w:tr>
      <w:tr w:rsidR="00A56DCE" w:rsidRPr="00EF468C" w:rsidTr="00A56DCE">
        <w:trPr>
          <w:jc w:val="center"/>
        </w:trPr>
        <w:tc>
          <w:tcPr>
            <w:tcW w:w="1025" w:type="dxa"/>
            <w:tcBorders>
              <w:top w:val="single" w:sz="8" w:space="0" w:color="auto"/>
              <w:left w:val="nil"/>
              <w:bottom w:val="nil"/>
              <w:right w:val="nil"/>
            </w:tcBorders>
          </w:tcPr>
          <w:p w:rsidR="00A56DCE" w:rsidRPr="00EF468C" w:rsidRDefault="00A56DCE" w:rsidP="00A56DCE">
            <w:pPr>
              <w:spacing w:line="360" w:lineRule="auto"/>
              <w:rPr>
                <w:sz w:val="22"/>
                <w:szCs w:val="22"/>
                <w:lang w:val="en-AU"/>
              </w:rPr>
            </w:pPr>
            <w:r w:rsidRPr="00EF468C">
              <w:rPr>
                <w:sz w:val="22"/>
                <w:szCs w:val="22"/>
                <w:lang w:val="en-AU"/>
              </w:rPr>
              <w:t>1</w:t>
            </w:r>
          </w:p>
        </w:tc>
        <w:tc>
          <w:tcPr>
            <w:tcW w:w="1349" w:type="dxa"/>
            <w:vMerge w:val="restart"/>
            <w:tcBorders>
              <w:top w:val="single" w:sz="8" w:space="0" w:color="auto"/>
              <w:left w:val="nil"/>
              <w:right w:val="nil"/>
            </w:tcBorders>
            <w:vAlign w:val="center"/>
          </w:tcPr>
          <w:p w:rsidR="00A56DCE" w:rsidRPr="00EF468C" w:rsidRDefault="00A56DCE" w:rsidP="00A56DCE">
            <w:pPr>
              <w:spacing w:line="360" w:lineRule="auto"/>
              <w:rPr>
                <w:sz w:val="22"/>
                <w:szCs w:val="22"/>
                <w:lang w:val="en-AU"/>
              </w:rPr>
            </w:pPr>
            <w:r w:rsidRPr="00EF468C">
              <w:rPr>
                <w:sz w:val="22"/>
                <w:szCs w:val="22"/>
                <w:lang w:val="en-AU"/>
              </w:rPr>
              <w:t>IPPA -PA</w:t>
            </w:r>
            <w:r w:rsidRPr="00EF468C">
              <w:rPr>
                <w:rStyle w:val="FootnoteReference"/>
                <w:sz w:val="22"/>
                <w:szCs w:val="22"/>
                <w:lang w:val="en-AU"/>
              </w:rPr>
              <w:footnoteReference w:id="13"/>
            </w:r>
          </w:p>
        </w:tc>
        <w:tc>
          <w:tcPr>
            <w:tcW w:w="1334" w:type="dxa"/>
            <w:tcBorders>
              <w:top w:val="single" w:sz="8" w:space="0" w:color="auto"/>
              <w:left w:val="nil"/>
              <w:bottom w:val="nil"/>
              <w:right w:val="nil"/>
            </w:tcBorders>
          </w:tcPr>
          <w:p w:rsidR="00A56DCE" w:rsidRPr="00EF468C" w:rsidRDefault="00A56DCE" w:rsidP="00A56DCE">
            <w:pPr>
              <w:spacing w:line="360" w:lineRule="auto"/>
              <w:rPr>
                <w:sz w:val="22"/>
                <w:szCs w:val="22"/>
                <w:lang w:val="en-AU"/>
              </w:rPr>
            </w:pPr>
            <w:r w:rsidRPr="00EF468C">
              <w:rPr>
                <w:sz w:val="22"/>
                <w:szCs w:val="22"/>
                <w:lang w:val="en-AU"/>
              </w:rPr>
              <w:t>GAD-Q-IV</w:t>
            </w:r>
            <w:r w:rsidRPr="00EF468C">
              <w:rPr>
                <w:rStyle w:val="FootnoteReference"/>
                <w:sz w:val="22"/>
                <w:szCs w:val="22"/>
                <w:lang w:val="en-AU"/>
              </w:rPr>
              <w:footnoteReference w:id="14"/>
            </w:r>
          </w:p>
        </w:tc>
        <w:tc>
          <w:tcPr>
            <w:tcW w:w="952"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.41**</w:t>
            </w:r>
          </w:p>
        </w:tc>
        <w:tc>
          <w:tcPr>
            <w:tcW w:w="961"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.41**</w:t>
            </w:r>
          </w:p>
        </w:tc>
        <w:tc>
          <w:tcPr>
            <w:tcW w:w="978"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.15**</w:t>
            </w:r>
          </w:p>
        </w:tc>
        <w:tc>
          <w:tcPr>
            <w:tcW w:w="996"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13.12**</w:t>
            </w:r>
          </w:p>
        </w:tc>
      </w:tr>
      <w:tr w:rsidR="00A56DCE" w:rsidRPr="00EF468C" w:rsidTr="007F6B76">
        <w:trPr>
          <w:jc w:val="center"/>
        </w:trPr>
        <w:tc>
          <w:tcPr>
            <w:tcW w:w="1025" w:type="dxa"/>
            <w:tcBorders>
              <w:top w:val="nil"/>
              <w:left w:val="nil"/>
              <w:bottom w:val="single" w:sz="8" w:space="0" w:color="auto"/>
              <w:right w:val="nil"/>
            </w:tcBorders>
          </w:tcPr>
          <w:p w:rsidR="00A56DCE" w:rsidRPr="00EF468C" w:rsidRDefault="00A56DCE" w:rsidP="00A56DCE">
            <w:pPr>
              <w:spacing w:line="360" w:lineRule="auto"/>
              <w:rPr>
                <w:sz w:val="22"/>
                <w:szCs w:val="22"/>
                <w:lang w:val="en-AU"/>
              </w:rPr>
            </w:pPr>
          </w:p>
        </w:tc>
        <w:tc>
          <w:tcPr>
            <w:tcW w:w="1349" w:type="dxa"/>
            <w:vMerge/>
            <w:tcBorders>
              <w:left w:val="nil"/>
              <w:bottom w:val="single" w:sz="8" w:space="0" w:color="auto"/>
              <w:right w:val="nil"/>
            </w:tcBorders>
          </w:tcPr>
          <w:p w:rsidR="00A56DCE" w:rsidRPr="00EF468C" w:rsidRDefault="00A56DCE" w:rsidP="00A56DCE">
            <w:pPr>
              <w:spacing w:line="360" w:lineRule="auto"/>
              <w:rPr>
                <w:sz w:val="22"/>
                <w:szCs w:val="22"/>
                <w:lang w:val="en-AU"/>
              </w:rPr>
            </w:pPr>
          </w:p>
        </w:tc>
        <w:tc>
          <w:tcPr>
            <w:tcW w:w="1334" w:type="dxa"/>
            <w:tcBorders>
              <w:top w:val="nil"/>
              <w:left w:val="nil"/>
              <w:bottom w:val="single" w:sz="8" w:space="0" w:color="auto"/>
              <w:right w:val="nil"/>
            </w:tcBorders>
          </w:tcPr>
          <w:p w:rsidR="00A56DCE" w:rsidRPr="00EF468C" w:rsidRDefault="00A56DCE" w:rsidP="00A56DCE">
            <w:pPr>
              <w:spacing w:line="360" w:lineRule="auto"/>
              <w:rPr>
                <w:sz w:val="22"/>
                <w:szCs w:val="22"/>
                <w:lang w:val="en-AU"/>
              </w:rPr>
            </w:pPr>
            <w:r w:rsidRPr="00EF468C">
              <w:rPr>
                <w:sz w:val="22"/>
                <w:szCs w:val="22"/>
                <w:lang w:val="en-AU"/>
              </w:rPr>
              <w:t>PSWQ</w:t>
            </w:r>
            <w:r w:rsidRPr="00EF468C">
              <w:rPr>
                <w:rStyle w:val="FootnoteReference"/>
                <w:sz w:val="22"/>
                <w:szCs w:val="22"/>
                <w:lang w:val="en-AU"/>
              </w:rPr>
              <w:footnoteReference w:customMarkFollows="1" w:id="15"/>
              <w:sym w:font="Symbol" w:char="F0B6"/>
            </w:r>
          </w:p>
        </w:tc>
        <w:tc>
          <w:tcPr>
            <w:tcW w:w="952"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.42**</w:t>
            </w:r>
          </w:p>
        </w:tc>
        <w:tc>
          <w:tcPr>
            <w:tcW w:w="961"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.42**</w:t>
            </w:r>
          </w:p>
        </w:tc>
        <w:tc>
          <w:tcPr>
            <w:tcW w:w="978"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.17**</w:t>
            </w:r>
          </w:p>
        </w:tc>
        <w:tc>
          <w:tcPr>
            <w:tcW w:w="996"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14.02**</w:t>
            </w:r>
          </w:p>
        </w:tc>
      </w:tr>
      <w:tr w:rsidR="004A11DF" w:rsidRPr="00EF468C">
        <w:trPr>
          <w:jc w:val="center"/>
        </w:trPr>
        <w:tc>
          <w:tcPr>
            <w:tcW w:w="1025" w:type="dxa"/>
            <w:tcBorders>
              <w:top w:val="single" w:sz="8" w:space="0" w:color="auto"/>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2</w:t>
            </w:r>
          </w:p>
        </w:tc>
        <w:tc>
          <w:tcPr>
            <w:tcW w:w="1349" w:type="dxa"/>
            <w:tcBorders>
              <w:top w:val="single" w:sz="8" w:space="0" w:color="auto"/>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IPPA -PA</w:t>
            </w:r>
          </w:p>
        </w:tc>
        <w:tc>
          <w:tcPr>
            <w:tcW w:w="1334" w:type="dxa"/>
            <w:tcBorders>
              <w:top w:val="single" w:sz="8" w:space="0" w:color="auto"/>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ASI</w:t>
            </w:r>
          </w:p>
        </w:tc>
        <w:tc>
          <w:tcPr>
            <w:tcW w:w="952"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.43**</w:t>
            </w:r>
          </w:p>
        </w:tc>
        <w:tc>
          <w:tcPr>
            <w:tcW w:w="961"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.43**</w:t>
            </w:r>
          </w:p>
        </w:tc>
        <w:tc>
          <w:tcPr>
            <w:tcW w:w="978"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.18**</w:t>
            </w:r>
          </w:p>
        </w:tc>
        <w:tc>
          <w:tcPr>
            <w:tcW w:w="996" w:type="dxa"/>
            <w:tcBorders>
              <w:top w:val="single" w:sz="8" w:space="0" w:color="auto"/>
              <w:left w:val="nil"/>
              <w:bottom w:val="single" w:sz="8" w:space="0" w:color="auto"/>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14.99**</w:t>
            </w:r>
          </w:p>
        </w:tc>
      </w:tr>
      <w:tr w:rsidR="00A56DCE" w:rsidRPr="00EF468C" w:rsidTr="00A56DCE">
        <w:trPr>
          <w:jc w:val="center"/>
        </w:trPr>
        <w:tc>
          <w:tcPr>
            <w:tcW w:w="1025" w:type="dxa"/>
            <w:tcBorders>
              <w:top w:val="single" w:sz="8" w:space="0" w:color="auto"/>
              <w:left w:val="nil"/>
              <w:bottom w:val="nil"/>
              <w:right w:val="nil"/>
            </w:tcBorders>
          </w:tcPr>
          <w:p w:rsidR="00A56DCE" w:rsidRPr="00EF468C" w:rsidRDefault="00A56DCE" w:rsidP="00A56DCE">
            <w:pPr>
              <w:spacing w:line="360" w:lineRule="auto"/>
              <w:rPr>
                <w:sz w:val="22"/>
                <w:szCs w:val="22"/>
                <w:lang w:val="en-AU"/>
              </w:rPr>
            </w:pPr>
            <w:r w:rsidRPr="00EF468C">
              <w:rPr>
                <w:sz w:val="22"/>
                <w:szCs w:val="22"/>
                <w:lang w:val="en-AU"/>
              </w:rPr>
              <w:t>3</w:t>
            </w:r>
          </w:p>
        </w:tc>
        <w:tc>
          <w:tcPr>
            <w:tcW w:w="1349" w:type="dxa"/>
            <w:vMerge w:val="restart"/>
            <w:tcBorders>
              <w:top w:val="single" w:sz="8" w:space="0" w:color="auto"/>
              <w:left w:val="nil"/>
              <w:right w:val="nil"/>
            </w:tcBorders>
            <w:vAlign w:val="center"/>
          </w:tcPr>
          <w:p w:rsidR="00A56DCE" w:rsidRPr="00EF468C" w:rsidRDefault="00A56DCE" w:rsidP="00A56DCE">
            <w:pPr>
              <w:spacing w:line="360" w:lineRule="auto"/>
              <w:rPr>
                <w:sz w:val="22"/>
                <w:szCs w:val="22"/>
                <w:lang w:val="en-AU"/>
              </w:rPr>
            </w:pPr>
            <w:r w:rsidRPr="00EF468C">
              <w:rPr>
                <w:sz w:val="22"/>
                <w:szCs w:val="22"/>
                <w:lang w:val="en-AU"/>
              </w:rPr>
              <w:t>ASI</w:t>
            </w:r>
            <w:r w:rsidRPr="00EF468C">
              <w:rPr>
                <w:rStyle w:val="FootnoteReference"/>
                <w:sz w:val="22"/>
                <w:szCs w:val="22"/>
                <w:lang w:val="en-AU"/>
              </w:rPr>
              <w:footnoteReference w:id="16"/>
            </w:r>
          </w:p>
        </w:tc>
        <w:tc>
          <w:tcPr>
            <w:tcW w:w="1334" w:type="dxa"/>
            <w:tcBorders>
              <w:top w:val="single" w:sz="8" w:space="0" w:color="auto"/>
              <w:left w:val="nil"/>
              <w:bottom w:val="nil"/>
              <w:right w:val="nil"/>
            </w:tcBorders>
          </w:tcPr>
          <w:p w:rsidR="00A56DCE" w:rsidRPr="00EF468C" w:rsidRDefault="00A56DCE" w:rsidP="00A56DCE">
            <w:pPr>
              <w:spacing w:line="360" w:lineRule="auto"/>
              <w:rPr>
                <w:sz w:val="22"/>
                <w:szCs w:val="22"/>
                <w:lang w:val="en-AU"/>
              </w:rPr>
            </w:pPr>
            <w:r w:rsidRPr="00EF468C">
              <w:rPr>
                <w:sz w:val="22"/>
                <w:szCs w:val="22"/>
                <w:lang w:val="en-AU"/>
              </w:rPr>
              <w:t>GAD-Q-IV</w:t>
            </w:r>
          </w:p>
        </w:tc>
        <w:tc>
          <w:tcPr>
            <w:tcW w:w="952"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.65**</w:t>
            </w:r>
          </w:p>
        </w:tc>
        <w:tc>
          <w:tcPr>
            <w:tcW w:w="961"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.65**</w:t>
            </w:r>
          </w:p>
        </w:tc>
        <w:tc>
          <w:tcPr>
            <w:tcW w:w="978"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.42**</w:t>
            </w:r>
          </w:p>
        </w:tc>
        <w:tc>
          <w:tcPr>
            <w:tcW w:w="996" w:type="dxa"/>
            <w:tcBorders>
              <w:top w:val="single" w:sz="8" w:space="0" w:color="auto"/>
              <w:left w:val="nil"/>
              <w:bottom w:val="nil"/>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49.86**</w:t>
            </w:r>
          </w:p>
        </w:tc>
      </w:tr>
      <w:tr w:rsidR="00A56DCE" w:rsidRPr="00EF468C" w:rsidTr="0066168E">
        <w:trPr>
          <w:jc w:val="center"/>
        </w:trPr>
        <w:tc>
          <w:tcPr>
            <w:tcW w:w="1025" w:type="dxa"/>
            <w:tcBorders>
              <w:top w:val="nil"/>
              <w:left w:val="nil"/>
              <w:bottom w:val="single" w:sz="8" w:space="0" w:color="auto"/>
              <w:right w:val="nil"/>
            </w:tcBorders>
          </w:tcPr>
          <w:p w:rsidR="00A56DCE" w:rsidRPr="00EF468C" w:rsidRDefault="00A56DCE" w:rsidP="00A56DCE">
            <w:pPr>
              <w:spacing w:line="360" w:lineRule="auto"/>
              <w:rPr>
                <w:sz w:val="22"/>
                <w:szCs w:val="22"/>
                <w:lang w:val="en-AU"/>
              </w:rPr>
            </w:pPr>
          </w:p>
        </w:tc>
        <w:tc>
          <w:tcPr>
            <w:tcW w:w="1349" w:type="dxa"/>
            <w:vMerge/>
            <w:tcBorders>
              <w:left w:val="nil"/>
              <w:bottom w:val="single" w:sz="8" w:space="0" w:color="auto"/>
              <w:right w:val="nil"/>
            </w:tcBorders>
          </w:tcPr>
          <w:p w:rsidR="00A56DCE" w:rsidRPr="00EF468C" w:rsidRDefault="00A56DCE" w:rsidP="00A56DCE">
            <w:pPr>
              <w:spacing w:line="360" w:lineRule="auto"/>
              <w:rPr>
                <w:sz w:val="22"/>
                <w:szCs w:val="22"/>
                <w:lang w:val="en-AU"/>
              </w:rPr>
            </w:pPr>
          </w:p>
        </w:tc>
        <w:tc>
          <w:tcPr>
            <w:tcW w:w="1334" w:type="dxa"/>
            <w:tcBorders>
              <w:top w:val="nil"/>
              <w:left w:val="nil"/>
              <w:bottom w:val="single" w:sz="8" w:space="0" w:color="auto"/>
              <w:right w:val="nil"/>
            </w:tcBorders>
          </w:tcPr>
          <w:p w:rsidR="00A56DCE" w:rsidRPr="00EF468C" w:rsidRDefault="00A56DCE" w:rsidP="00A56DCE">
            <w:pPr>
              <w:spacing w:line="360" w:lineRule="auto"/>
              <w:rPr>
                <w:sz w:val="22"/>
                <w:szCs w:val="22"/>
                <w:lang w:val="en-AU"/>
              </w:rPr>
            </w:pPr>
            <w:r w:rsidRPr="00EF468C">
              <w:rPr>
                <w:sz w:val="22"/>
                <w:szCs w:val="22"/>
                <w:lang w:val="en-AU"/>
              </w:rPr>
              <w:t>PSWQ</w:t>
            </w:r>
          </w:p>
        </w:tc>
        <w:tc>
          <w:tcPr>
            <w:tcW w:w="952"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.57**</w:t>
            </w:r>
          </w:p>
        </w:tc>
        <w:tc>
          <w:tcPr>
            <w:tcW w:w="961"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.57**</w:t>
            </w:r>
          </w:p>
        </w:tc>
        <w:tc>
          <w:tcPr>
            <w:tcW w:w="978"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.31**</w:t>
            </w:r>
          </w:p>
        </w:tc>
        <w:tc>
          <w:tcPr>
            <w:tcW w:w="996" w:type="dxa"/>
            <w:tcBorders>
              <w:top w:val="nil"/>
              <w:left w:val="nil"/>
              <w:bottom w:val="single" w:sz="8" w:space="0" w:color="auto"/>
              <w:right w:val="nil"/>
            </w:tcBorders>
          </w:tcPr>
          <w:p w:rsidR="00A56DCE" w:rsidRPr="00EF468C" w:rsidRDefault="00A56DCE" w:rsidP="00A56DCE">
            <w:pPr>
              <w:spacing w:line="360" w:lineRule="auto"/>
              <w:jc w:val="center"/>
              <w:rPr>
                <w:b/>
                <w:sz w:val="22"/>
                <w:szCs w:val="22"/>
                <w:lang w:val="en-AU"/>
              </w:rPr>
            </w:pPr>
            <w:r w:rsidRPr="00EF468C">
              <w:rPr>
                <w:b/>
                <w:sz w:val="22"/>
                <w:szCs w:val="22"/>
                <w:lang w:val="en-AU"/>
              </w:rPr>
              <w:t>32.16**</w:t>
            </w:r>
          </w:p>
        </w:tc>
      </w:tr>
      <w:tr w:rsidR="004A11DF" w:rsidRPr="00EF468C">
        <w:trPr>
          <w:jc w:val="center"/>
        </w:trPr>
        <w:tc>
          <w:tcPr>
            <w:tcW w:w="1025" w:type="dxa"/>
            <w:tcBorders>
              <w:top w:val="single" w:sz="8" w:space="0" w:color="auto"/>
              <w:left w:val="nil"/>
              <w:bottom w:val="nil"/>
              <w:right w:val="nil"/>
            </w:tcBorders>
          </w:tcPr>
          <w:p w:rsidR="004A11DF" w:rsidRPr="00EF468C" w:rsidRDefault="004A11DF" w:rsidP="00A56DCE">
            <w:pPr>
              <w:spacing w:line="360" w:lineRule="auto"/>
              <w:rPr>
                <w:sz w:val="22"/>
                <w:szCs w:val="22"/>
                <w:lang w:val="en-AU"/>
              </w:rPr>
            </w:pPr>
            <w:r w:rsidRPr="00EF468C">
              <w:rPr>
                <w:sz w:val="22"/>
                <w:szCs w:val="22"/>
                <w:lang w:val="en-AU"/>
              </w:rPr>
              <w:t>4 a)</w:t>
            </w:r>
          </w:p>
        </w:tc>
        <w:tc>
          <w:tcPr>
            <w:tcW w:w="1349" w:type="dxa"/>
            <w:tcBorders>
              <w:top w:val="single" w:sz="8" w:space="0" w:color="auto"/>
              <w:left w:val="nil"/>
              <w:right w:val="nil"/>
            </w:tcBorders>
          </w:tcPr>
          <w:p w:rsidR="004A11DF" w:rsidRPr="00EF468C" w:rsidRDefault="004A11DF" w:rsidP="00A56DCE">
            <w:pPr>
              <w:spacing w:line="360" w:lineRule="auto"/>
              <w:rPr>
                <w:sz w:val="22"/>
                <w:szCs w:val="22"/>
                <w:lang w:val="en-AU"/>
              </w:rPr>
            </w:pPr>
            <w:r w:rsidRPr="00EF468C">
              <w:rPr>
                <w:sz w:val="22"/>
                <w:szCs w:val="22"/>
                <w:lang w:val="en-AU"/>
              </w:rPr>
              <w:t>IPPA -PA</w:t>
            </w:r>
          </w:p>
        </w:tc>
        <w:tc>
          <w:tcPr>
            <w:tcW w:w="1334" w:type="dxa"/>
            <w:vMerge w:val="restart"/>
            <w:tcBorders>
              <w:top w:val="single" w:sz="8" w:space="0" w:color="auto"/>
              <w:left w:val="nil"/>
              <w:right w:val="nil"/>
            </w:tcBorders>
            <w:vAlign w:val="center"/>
          </w:tcPr>
          <w:p w:rsidR="004A11DF" w:rsidRPr="00EF468C" w:rsidRDefault="004A11DF" w:rsidP="00A56DCE">
            <w:pPr>
              <w:spacing w:line="360" w:lineRule="auto"/>
              <w:rPr>
                <w:sz w:val="22"/>
                <w:szCs w:val="22"/>
                <w:lang w:val="en-AU"/>
              </w:rPr>
            </w:pPr>
            <w:r w:rsidRPr="00EF468C">
              <w:rPr>
                <w:sz w:val="22"/>
                <w:szCs w:val="22"/>
                <w:lang w:val="en-AU"/>
              </w:rPr>
              <w:t>GAD-Q-IV</w:t>
            </w:r>
          </w:p>
        </w:tc>
        <w:tc>
          <w:tcPr>
            <w:tcW w:w="952" w:type="dxa"/>
            <w:tcBorders>
              <w:top w:val="single" w:sz="8"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.39**</w:t>
            </w:r>
          </w:p>
        </w:tc>
        <w:tc>
          <w:tcPr>
            <w:tcW w:w="961" w:type="dxa"/>
            <w:tcBorders>
              <w:top w:val="single" w:sz="8"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.39**</w:t>
            </w:r>
          </w:p>
        </w:tc>
        <w:tc>
          <w:tcPr>
            <w:tcW w:w="978" w:type="dxa"/>
            <w:tcBorders>
              <w:top w:val="single" w:sz="8"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.14**</w:t>
            </w:r>
          </w:p>
        </w:tc>
        <w:tc>
          <w:tcPr>
            <w:tcW w:w="996" w:type="dxa"/>
            <w:tcBorders>
              <w:top w:val="single" w:sz="8"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11.48**</w:t>
            </w:r>
          </w:p>
        </w:tc>
      </w:tr>
      <w:tr w:rsidR="004A11DF" w:rsidRPr="00EF468C">
        <w:trPr>
          <w:jc w:val="center"/>
        </w:trPr>
        <w:tc>
          <w:tcPr>
            <w:tcW w:w="1025" w:type="dxa"/>
            <w:tcBorders>
              <w:top w:val="nil"/>
              <w:left w:val="nil"/>
              <w:bottom w:val="nil"/>
              <w:right w:val="nil"/>
            </w:tcBorders>
          </w:tcPr>
          <w:p w:rsidR="004A11DF" w:rsidRPr="00EF468C" w:rsidRDefault="004A11DF" w:rsidP="00A56DCE">
            <w:pPr>
              <w:spacing w:line="360" w:lineRule="auto"/>
              <w:rPr>
                <w:sz w:val="22"/>
                <w:szCs w:val="22"/>
                <w:lang w:val="en-AU"/>
              </w:rPr>
            </w:pPr>
          </w:p>
        </w:tc>
        <w:tc>
          <w:tcPr>
            <w:tcW w:w="1349" w:type="dxa"/>
            <w:tcBorders>
              <w:left w:val="nil"/>
              <w:bottom w:val="double" w:sz="4"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IPPA –PA</w:t>
            </w:r>
          </w:p>
          <w:p w:rsidR="004A11DF" w:rsidRPr="00EF468C" w:rsidRDefault="004A11DF" w:rsidP="00A56DCE">
            <w:pPr>
              <w:spacing w:line="360" w:lineRule="auto"/>
              <w:rPr>
                <w:sz w:val="22"/>
                <w:szCs w:val="22"/>
                <w:lang w:val="en-AU"/>
              </w:rPr>
            </w:pPr>
            <w:r w:rsidRPr="00EF468C">
              <w:rPr>
                <w:sz w:val="22"/>
                <w:szCs w:val="22"/>
                <w:lang w:val="en-AU"/>
              </w:rPr>
              <w:t>ASI</w:t>
            </w:r>
          </w:p>
        </w:tc>
        <w:tc>
          <w:tcPr>
            <w:tcW w:w="1334" w:type="dxa"/>
            <w:vMerge/>
            <w:tcBorders>
              <w:left w:val="nil"/>
              <w:bottom w:val="double" w:sz="4" w:space="0" w:color="auto"/>
              <w:right w:val="nil"/>
            </w:tcBorders>
          </w:tcPr>
          <w:p w:rsidR="004A11DF" w:rsidRPr="00EF468C" w:rsidRDefault="004A11DF" w:rsidP="00A56DCE">
            <w:pPr>
              <w:spacing w:line="360" w:lineRule="auto"/>
              <w:rPr>
                <w:sz w:val="22"/>
                <w:szCs w:val="22"/>
                <w:lang w:val="en-AU"/>
              </w:rPr>
            </w:pPr>
          </w:p>
        </w:tc>
        <w:tc>
          <w:tcPr>
            <w:tcW w:w="952" w:type="dxa"/>
            <w:tcBorders>
              <w:left w:val="nil"/>
              <w:bottom w:val="double" w:sz="4" w:space="0" w:color="auto"/>
              <w:right w:val="nil"/>
            </w:tcBorders>
          </w:tcPr>
          <w:p w:rsidR="004A11DF" w:rsidRPr="00EF468C" w:rsidRDefault="004A11DF" w:rsidP="00A56DCE">
            <w:pPr>
              <w:spacing w:line="360" w:lineRule="auto"/>
              <w:jc w:val="center"/>
              <w:rPr>
                <w:sz w:val="22"/>
                <w:szCs w:val="22"/>
                <w:lang w:val="en-AU"/>
              </w:rPr>
            </w:pPr>
            <w:r w:rsidRPr="00EF468C">
              <w:rPr>
                <w:sz w:val="22"/>
                <w:szCs w:val="22"/>
                <w:lang w:val="en-AU"/>
              </w:rPr>
              <w:t>.13</w:t>
            </w:r>
          </w:p>
          <w:p w:rsidR="004A11DF" w:rsidRPr="00EF468C" w:rsidRDefault="004A11DF" w:rsidP="00A56DCE">
            <w:pPr>
              <w:spacing w:line="360" w:lineRule="auto"/>
              <w:jc w:val="center"/>
              <w:rPr>
                <w:b/>
                <w:sz w:val="22"/>
                <w:szCs w:val="22"/>
                <w:lang w:val="en-AU"/>
              </w:rPr>
            </w:pPr>
            <w:r w:rsidRPr="00EF468C">
              <w:rPr>
                <w:b/>
                <w:sz w:val="22"/>
                <w:szCs w:val="22"/>
                <w:lang w:val="en-AU"/>
              </w:rPr>
              <w:t>.59**</w:t>
            </w:r>
          </w:p>
        </w:tc>
        <w:tc>
          <w:tcPr>
            <w:tcW w:w="961" w:type="dxa"/>
            <w:tcBorders>
              <w:left w:val="nil"/>
              <w:bottom w:val="double" w:sz="4" w:space="0" w:color="auto"/>
              <w:right w:val="nil"/>
            </w:tcBorders>
            <w:vAlign w:val="center"/>
          </w:tcPr>
          <w:p w:rsidR="004A11DF" w:rsidRPr="00EF468C" w:rsidRDefault="004A11DF" w:rsidP="00A56DCE">
            <w:pPr>
              <w:spacing w:line="360" w:lineRule="auto"/>
              <w:jc w:val="center"/>
              <w:rPr>
                <w:b/>
                <w:sz w:val="22"/>
                <w:szCs w:val="22"/>
                <w:lang w:val="en-AU"/>
              </w:rPr>
            </w:pPr>
            <w:r w:rsidRPr="00EF468C">
              <w:rPr>
                <w:b/>
                <w:sz w:val="22"/>
                <w:szCs w:val="22"/>
                <w:lang w:val="en-AU"/>
              </w:rPr>
              <w:t>.67**</w:t>
            </w:r>
          </w:p>
        </w:tc>
        <w:tc>
          <w:tcPr>
            <w:tcW w:w="978" w:type="dxa"/>
            <w:tcBorders>
              <w:left w:val="nil"/>
              <w:bottom w:val="double" w:sz="4" w:space="0" w:color="auto"/>
              <w:right w:val="nil"/>
            </w:tcBorders>
            <w:vAlign w:val="center"/>
          </w:tcPr>
          <w:p w:rsidR="004A11DF" w:rsidRPr="00EF468C" w:rsidRDefault="004A11DF" w:rsidP="00A56DCE">
            <w:pPr>
              <w:spacing w:line="360" w:lineRule="auto"/>
              <w:jc w:val="center"/>
              <w:rPr>
                <w:b/>
                <w:sz w:val="22"/>
                <w:szCs w:val="22"/>
                <w:lang w:val="en-AU"/>
              </w:rPr>
            </w:pPr>
            <w:r w:rsidRPr="00EF468C">
              <w:rPr>
                <w:b/>
                <w:sz w:val="22"/>
                <w:szCs w:val="22"/>
                <w:lang w:val="en-AU"/>
              </w:rPr>
              <w:t>.41**</w:t>
            </w:r>
          </w:p>
        </w:tc>
        <w:tc>
          <w:tcPr>
            <w:tcW w:w="996" w:type="dxa"/>
            <w:tcBorders>
              <w:left w:val="nil"/>
              <w:bottom w:val="double" w:sz="4" w:space="0" w:color="auto"/>
              <w:right w:val="nil"/>
            </w:tcBorders>
            <w:vAlign w:val="center"/>
          </w:tcPr>
          <w:p w:rsidR="004A11DF" w:rsidRPr="00EF468C" w:rsidRDefault="004A11DF" w:rsidP="00A56DCE">
            <w:pPr>
              <w:spacing w:line="360" w:lineRule="auto"/>
              <w:jc w:val="center"/>
              <w:rPr>
                <w:b/>
                <w:sz w:val="22"/>
                <w:szCs w:val="22"/>
                <w:lang w:val="en-AU"/>
              </w:rPr>
            </w:pPr>
            <w:r w:rsidRPr="00EF468C">
              <w:rPr>
                <w:b/>
                <w:sz w:val="22"/>
                <w:szCs w:val="22"/>
                <w:lang w:val="en-AU"/>
              </w:rPr>
              <w:t>24.15**</w:t>
            </w:r>
          </w:p>
        </w:tc>
      </w:tr>
      <w:tr w:rsidR="004A11DF" w:rsidRPr="00EF468C">
        <w:trPr>
          <w:jc w:val="center"/>
        </w:trPr>
        <w:tc>
          <w:tcPr>
            <w:tcW w:w="1025" w:type="dxa"/>
            <w:tcBorders>
              <w:top w:val="nil"/>
              <w:left w:val="nil"/>
              <w:bottom w:val="nil"/>
              <w:right w:val="nil"/>
            </w:tcBorders>
          </w:tcPr>
          <w:p w:rsidR="004A11DF" w:rsidRPr="00EF468C" w:rsidRDefault="004A11DF" w:rsidP="00A56DCE">
            <w:pPr>
              <w:spacing w:line="360" w:lineRule="auto"/>
              <w:rPr>
                <w:sz w:val="22"/>
                <w:szCs w:val="22"/>
                <w:lang w:val="en-AU"/>
              </w:rPr>
            </w:pPr>
            <w:r w:rsidRPr="00EF468C">
              <w:rPr>
                <w:sz w:val="22"/>
                <w:szCs w:val="22"/>
                <w:lang w:val="en-AU"/>
              </w:rPr>
              <w:t>4 b)</w:t>
            </w:r>
          </w:p>
        </w:tc>
        <w:tc>
          <w:tcPr>
            <w:tcW w:w="1349" w:type="dxa"/>
            <w:tcBorders>
              <w:top w:val="double" w:sz="4" w:space="0" w:color="auto"/>
              <w:left w:val="nil"/>
              <w:right w:val="nil"/>
            </w:tcBorders>
          </w:tcPr>
          <w:p w:rsidR="004A11DF" w:rsidRPr="00EF468C" w:rsidRDefault="004A11DF" w:rsidP="00A56DCE">
            <w:pPr>
              <w:spacing w:line="360" w:lineRule="auto"/>
              <w:rPr>
                <w:sz w:val="22"/>
                <w:szCs w:val="22"/>
                <w:lang w:val="en-AU"/>
              </w:rPr>
            </w:pPr>
            <w:r w:rsidRPr="00EF468C">
              <w:rPr>
                <w:sz w:val="22"/>
                <w:szCs w:val="22"/>
                <w:lang w:val="en-AU"/>
              </w:rPr>
              <w:t>IPPA -PA</w:t>
            </w:r>
          </w:p>
        </w:tc>
        <w:tc>
          <w:tcPr>
            <w:tcW w:w="1334" w:type="dxa"/>
            <w:vMerge w:val="restart"/>
            <w:tcBorders>
              <w:top w:val="double" w:sz="4" w:space="0" w:color="auto"/>
              <w:left w:val="nil"/>
              <w:right w:val="nil"/>
            </w:tcBorders>
            <w:vAlign w:val="center"/>
          </w:tcPr>
          <w:p w:rsidR="004A11DF" w:rsidRPr="00EF468C" w:rsidRDefault="004A11DF" w:rsidP="00A56DCE">
            <w:pPr>
              <w:spacing w:line="360" w:lineRule="auto"/>
              <w:rPr>
                <w:sz w:val="22"/>
                <w:szCs w:val="22"/>
                <w:lang w:val="en-AU"/>
              </w:rPr>
            </w:pPr>
            <w:r w:rsidRPr="00EF468C">
              <w:rPr>
                <w:sz w:val="22"/>
                <w:szCs w:val="22"/>
                <w:lang w:val="en-AU"/>
              </w:rPr>
              <w:t>PSWQ</w:t>
            </w:r>
          </w:p>
        </w:tc>
        <w:tc>
          <w:tcPr>
            <w:tcW w:w="952" w:type="dxa"/>
            <w:tcBorders>
              <w:top w:val="double" w:sz="4"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.42**</w:t>
            </w:r>
          </w:p>
        </w:tc>
        <w:tc>
          <w:tcPr>
            <w:tcW w:w="961" w:type="dxa"/>
            <w:tcBorders>
              <w:top w:val="double" w:sz="4"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.42**</w:t>
            </w:r>
          </w:p>
        </w:tc>
        <w:tc>
          <w:tcPr>
            <w:tcW w:w="978" w:type="dxa"/>
            <w:tcBorders>
              <w:top w:val="double" w:sz="4"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.17**</w:t>
            </w:r>
          </w:p>
        </w:tc>
        <w:tc>
          <w:tcPr>
            <w:tcW w:w="996" w:type="dxa"/>
            <w:tcBorders>
              <w:top w:val="double" w:sz="4" w:space="0" w:color="auto"/>
              <w:left w:val="nil"/>
              <w:right w:val="nil"/>
            </w:tcBorders>
          </w:tcPr>
          <w:p w:rsidR="004A11DF" w:rsidRPr="00EF468C" w:rsidRDefault="004A11DF" w:rsidP="00A56DCE">
            <w:pPr>
              <w:spacing w:line="360" w:lineRule="auto"/>
              <w:jc w:val="center"/>
              <w:rPr>
                <w:b/>
                <w:sz w:val="22"/>
                <w:szCs w:val="22"/>
                <w:lang w:val="en-AU"/>
              </w:rPr>
            </w:pPr>
            <w:r w:rsidRPr="00EF468C">
              <w:rPr>
                <w:b/>
                <w:sz w:val="22"/>
                <w:szCs w:val="22"/>
                <w:lang w:val="en-AU"/>
              </w:rPr>
              <w:t>13.86**</w:t>
            </w:r>
          </w:p>
        </w:tc>
      </w:tr>
      <w:tr w:rsidR="004A11DF" w:rsidRPr="007C6EFE">
        <w:trPr>
          <w:jc w:val="center"/>
        </w:trPr>
        <w:tc>
          <w:tcPr>
            <w:tcW w:w="1025" w:type="dxa"/>
            <w:tcBorders>
              <w:top w:val="nil"/>
              <w:left w:val="nil"/>
              <w:bottom w:val="single" w:sz="8" w:space="0" w:color="auto"/>
              <w:right w:val="nil"/>
            </w:tcBorders>
          </w:tcPr>
          <w:p w:rsidR="004A11DF" w:rsidRPr="00EF468C" w:rsidRDefault="004A11DF" w:rsidP="00A56DCE">
            <w:pPr>
              <w:spacing w:line="360" w:lineRule="auto"/>
              <w:rPr>
                <w:sz w:val="22"/>
                <w:szCs w:val="22"/>
                <w:lang w:val="en-AU"/>
              </w:rPr>
            </w:pPr>
          </w:p>
        </w:tc>
        <w:tc>
          <w:tcPr>
            <w:tcW w:w="1349" w:type="dxa"/>
            <w:tcBorders>
              <w:left w:val="nil"/>
              <w:bottom w:val="single" w:sz="8" w:space="0" w:color="auto"/>
              <w:right w:val="nil"/>
            </w:tcBorders>
          </w:tcPr>
          <w:p w:rsidR="004A11DF" w:rsidRPr="00EF468C" w:rsidRDefault="004A11DF" w:rsidP="00A56DCE">
            <w:pPr>
              <w:spacing w:line="360" w:lineRule="auto"/>
              <w:rPr>
                <w:sz w:val="22"/>
                <w:szCs w:val="22"/>
                <w:lang w:val="en-AU"/>
              </w:rPr>
            </w:pPr>
            <w:r w:rsidRPr="00EF468C">
              <w:rPr>
                <w:sz w:val="22"/>
                <w:szCs w:val="22"/>
                <w:lang w:val="en-AU"/>
              </w:rPr>
              <w:t>IPPA –PA</w:t>
            </w:r>
          </w:p>
          <w:p w:rsidR="004A11DF" w:rsidRPr="00EF468C" w:rsidRDefault="004A11DF" w:rsidP="00A56DCE">
            <w:pPr>
              <w:spacing w:line="360" w:lineRule="auto"/>
              <w:rPr>
                <w:sz w:val="22"/>
                <w:szCs w:val="22"/>
                <w:lang w:val="en-AU"/>
              </w:rPr>
            </w:pPr>
            <w:r w:rsidRPr="00EF468C">
              <w:rPr>
                <w:sz w:val="22"/>
                <w:szCs w:val="22"/>
                <w:lang w:val="en-AU"/>
              </w:rPr>
              <w:t>ASI</w:t>
            </w:r>
          </w:p>
        </w:tc>
        <w:tc>
          <w:tcPr>
            <w:tcW w:w="1334" w:type="dxa"/>
            <w:vMerge/>
            <w:tcBorders>
              <w:left w:val="nil"/>
              <w:bottom w:val="single" w:sz="8" w:space="0" w:color="auto"/>
              <w:right w:val="nil"/>
            </w:tcBorders>
          </w:tcPr>
          <w:p w:rsidR="004A11DF" w:rsidRPr="00EF468C" w:rsidRDefault="004A11DF" w:rsidP="00A56DCE">
            <w:pPr>
              <w:spacing w:line="360" w:lineRule="auto"/>
              <w:rPr>
                <w:sz w:val="22"/>
                <w:szCs w:val="22"/>
                <w:lang w:val="en-AU"/>
              </w:rPr>
            </w:pPr>
          </w:p>
        </w:tc>
        <w:tc>
          <w:tcPr>
            <w:tcW w:w="952" w:type="dxa"/>
            <w:tcBorders>
              <w:left w:val="nil"/>
              <w:bottom w:val="single" w:sz="8" w:space="0" w:color="auto"/>
              <w:right w:val="nil"/>
            </w:tcBorders>
          </w:tcPr>
          <w:p w:rsidR="004A11DF" w:rsidRPr="00EF468C" w:rsidRDefault="004A11DF" w:rsidP="00A56DCE">
            <w:pPr>
              <w:spacing w:line="360" w:lineRule="auto"/>
              <w:jc w:val="center"/>
              <w:rPr>
                <w:sz w:val="22"/>
                <w:szCs w:val="22"/>
                <w:lang w:val="en-AU"/>
              </w:rPr>
            </w:pPr>
            <w:r w:rsidRPr="00EF468C">
              <w:rPr>
                <w:sz w:val="22"/>
                <w:szCs w:val="22"/>
                <w:lang w:val="en-AU"/>
              </w:rPr>
              <w:t>.22</w:t>
            </w:r>
          </w:p>
          <w:p w:rsidR="004A11DF" w:rsidRPr="00EF468C" w:rsidRDefault="004A11DF" w:rsidP="00A56DCE">
            <w:pPr>
              <w:spacing w:line="360" w:lineRule="auto"/>
              <w:jc w:val="center"/>
              <w:rPr>
                <w:b/>
                <w:sz w:val="22"/>
                <w:szCs w:val="22"/>
                <w:lang w:val="en-AU"/>
              </w:rPr>
            </w:pPr>
            <w:r w:rsidRPr="00EF468C">
              <w:rPr>
                <w:b/>
                <w:sz w:val="22"/>
                <w:szCs w:val="22"/>
                <w:lang w:val="en-AU"/>
              </w:rPr>
              <w:t>.46**</w:t>
            </w:r>
          </w:p>
        </w:tc>
        <w:tc>
          <w:tcPr>
            <w:tcW w:w="961" w:type="dxa"/>
            <w:tcBorders>
              <w:left w:val="nil"/>
              <w:bottom w:val="single" w:sz="8" w:space="0" w:color="auto"/>
              <w:right w:val="nil"/>
            </w:tcBorders>
            <w:vAlign w:val="center"/>
          </w:tcPr>
          <w:p w:rsidR="004A11DF" w:rsidRPr="00EF468C" w:rsidRDefault="004A11DF" w:rsidP="00A56DCE">
            <w:pPr>
              <w:spacing w:line="360" w:lineRule="auto"/>
              <w:jc w:val="center"/>
              <w:rPr>
                <w:b/>
                <w:sz w:val="22"/>
                <w:szCs w:val="22"/>
                <w:lang w:val="en-AU"/>
              </w:rPr>
            </w:pPr>
            <w:r w:rsidRPr="00EF468C">
              <w:rPr>
                <w:b/>
                <w:sz w:val="22"/>
                <w:szCs w:val="22"/>
                <w:lang w:val="en-AU"/>
              </w:rPr>
              <w:t>.59**</w:t>
            </w:r>
          </w:p>
        </w:tc>
        <w:tc>
          <w:tcPr>
            <w:tcW w:w="978" w:type="dxa"/>
            <w:tcBorders>
              <w:left w:val="nil"/>
              <w:bottom w:val="single" w:sz="8" w:space="0" w:color="auto"/>
              <w:right w:val="nil"/>
            </w:tcBorders>
            <w:vAlign w:val="center"/>
          </w:tcPr>
          <w:p w:rsidR="004A11DF" w:rsidRPr="00EF468C" w:rsidRDefault="004A11DF" w:rsidP="00A56DCE">
            <w:pPr>
              <w:spacing w:line="360" w:lineRule="auto"/>
              <w:jc w:val="center"/>
              <w:rPr>
                <w:b/>
                <w:sz w:val="22"/>
                <w:szCs w:val="22"/>
                <w:lang w:val="en-AU"/>
              </w:rPr>
            </w:pPr>
            <w:r w:rsidRPr="00EF468C">
              <w:rPr>
                <w:b/>
                <w:sz w:val="22"/>
                <w:szCs w:val="22"/>
                <w:lang w:val="en-AU"/>
              </w:rPr>
              <w:t>.33**</w:t>
            </w:r>
          </w:p>
        </w:tc>
        <w:tc>
          <w:tcPr>
            <w:tcW w:w="996" w:type="dxa"/>
            <w:tcBorders>
              <w:left w:val="nil"/>
              <w:bottom w:val="single" w:sz="8" w:space="0" w:color="auto"/>
              <w:right w:val="nil"/>
            </w:tcBorders>
            <w:vAlign w:val="center"/>
          </w:tcPr>
          <w:p w:rsidR="004A11DF" w:rsidRPr="00A56DCE" w:rsidRDefault="004A11DF" w:rsidP="00A56DCE">
            <w:pPr>
              <w:spacing w:line="360" w:lineRule="auto"/>
              <w:jc w:val="center"/>
              <w:rPr>
                <w:b/>
                <w:sz w:val="22"/>
                <w:szCs w:val="22"/>
                <w:lang w:val="en-AU"/>
              </w:rPr>
            </w:pPr>
            <w:r w:rsidRPr="00EF468C">
              <w:rPr>
                <w:b/>
                <w:sz w:val="22"/>
                <w:szCs w:val="22"/>
                <w:lang w:val="en-AU"/>
              </w:rPr>
              <w:t>17.16**</w:t>
            </w:r>
          </w:p>
        </w:tc>
      </w:tr>
    </w:tbl>
    <w:p w:rsidR="004A11DF" w:rsidRPr="007C6EFE" w:rsidRDefault="004A11DF" w:rsidP="004A11DF">
      <w:pPr>
        <w:rPr>
          <w:lang w:val="en-AU"/>
        </w:rPr>
      </w:pPr>
    </w:p>
    <w:p w:rsidR="003A41C8" w:rsidRPr="007C6EFE" w:rsidRDefault="003A41C8" w:rsidP="003A41C8">
      <w:pPr>
        <w:autoSpaceDE w:val="0"/>
        <w:autoSpaceDN w:val="0"/>
        <w:adjustRightInd w:val="0"/>
        <w:rPr>
          <w:lang w:val="en-AU"/>
        </w:rPr>
      </w:pPr>
    </w:p>
    <w:sectPr w:rsidR="003A41C8" w:rsidRPr="007C6EFE" w:rsidSect="007A53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C5" w:rsidRDefault="000D16C5" w:rsidP="003A41C8">
      <w:r>
        <w:separator/>
      </w:r>
    </w:p>
  </w:endnote>
  <w:endnote w:type="continuationSeparator" w:id="0">
    <w:p w:rsidR="000D16C5" w:rsidRDefault="000D16C5" w:rsidP="003A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roman"/>
    <w:notTrueType/>
    <w:pitch w:val="default"/>
    <w:sig w:usb0="00000003" w:usb1="00000000" w:usb2="00000000" w:usb3="00000000" w:csb0="00000001" w:csb1="00000000"/>
  </w:font>
  <w:font w:name="MinionPro-Capt">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inionPro-It">
    <w:altName w:val="Minion Pro"/>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8C" w:rsidRDefault="00EF468C">
    <w:pPr>
      <w:pStyle w:val="Footer"/>
    </w:pPr>
    <w:r>
      <w:t xml:space="preserve">Curzik, D. i </w:t>
    </w:r>
    <w:proofErr w:type="spellStart"/>
    <w:r>
      <w:t>Salkicevic</w:t>
    </w:r>
    <w:proofErr w:type="spellEnd"/>
    <w:r>
      <w:t xml:space="preserve">, S. (2015). </w:t>
    </w:r>
    <w:r>
      <w:rPr>
        <w:lang w:val="en-US"/>
      </w:rPr>
      <w:t>Perceived parent and peer alienation and its relations to anxiety sensitivity, pathological worry and generalized anxiety disorder symptoms</w:t>
    </w:r>
    <w:r>
      <w:rPr>
        <w:lang w:val="en-US"/>
      </w:rPr>
      <w:t xml:space="preserve">. Australian Psychologist. </w:t>
    </w:r>
  </w:p>
  <w:p w:rsidR="00097F2A" w:rsidRDefault="00097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C5" w:rsidRDefault="000D16C5" w:rsidP="003A41C8">
      <w:r>
        <w:separator/>
      </w:r>
    </w:p>
  </w:footnote>
  <w:footnote w:type="continuationSeparator" w:id="0">
    <w:p w:rsidR="000D16C5" w:rsidRDefault="000D16C5" w:rsidP="003A41C8">
      <w:r>
        <w:continuationSeparator/>
      </w:r>
    </w:p>
  </w:footnote>
  <w:footnote w:id="1">
    <w:p w:rsidR="00097F2A" w:rsidRDefault="00097F2A" w:rsidP="004A11DF">
      <w:pPr>
        <w:pStyle w:val="FootnoteText"/>
      </w:pPr>
      <w:r>
        <w:rPr>
          <w:rStyle w:val="FootnoteReference"/>
        </w:rPr>
        <w:footnoteRef/>
      </w:r>
      <w:r>
        <w:t xml:space="preserve"> </w:t>
      </w:r>
      <w:r w:rsidRPr="00A1181D">
        <w:rPr>
          <w:sz w:val="20"/>
          <w:szCs w:val="20"/>
          <w:lang w:val="en-US"/>
        </w:rPr>
        <w:t>Generalized Anxiety Disorder Questionnaire-IV</w:t>
      </w:r>
    </w:p>
  </w:footnote>
  <w:footnote w:id="2">
    <w:p w:rsidR="00097F2A" w:rsidRDefault="00097F2A" w:rsidP="004A11DF">
      <w:pPr>
        <w:pStyle w:val="FootnoteText"/>
      </w:pPr>
      <w:r>
        <w:rPr>
          <w:rStyle w:val="FootnoteReference"/>
        </w:rPr>
        <w:footnoteRef/>
      </w:r>
      <w:r>
        <w:t xml:space="preserve"> </w:t>
      </w:r>
      <w:r w:rsidRPr="00A1181D">
        <w:rPr>
          <w:sz w:val="20"/>
          <w:szCs w:val="20"/>
          <w:lang w:val="en-US"/>
        </w:rPr>
        <w:t>Penn State Worry Questionnaire</w:t>
      </w:r>
    </w:p>
  </w:footnote>
  <w:footnote w:id="3">
    <w:p w:rsidR="00097F2A" w:rsidRDefault="00097F2A" w:rsidP="004A11DF">
      <w:pPr>
        <w:pStyle w:val="FootnoteText"/>
      </w:pPr>
      <w:r>
        <w:rPr>
          <w:rStyle w:val="FootnoteReference"/>
        </w:rPr>
        <w:footnoteRef/>
      </w:r>
      <w:r>
        <w:t xml:space="preserve"> </w:t>
      </w:r>
      <w:r w:rsidRPr="00A1181D">
        <w:rPr>
          <w:sz w:val="20"/>
          <w:szCs w:val="20"/>
          <w:lang w:val="en-US"/>
        </w:rPr>
        <w:t>A</w:t>
      </w:r>
      <w:r>
        <w:rPr>
          <w:sz w:val="20"/>
          <w:szCs w:val="20"/>
          <w:lang w:val="en-US"/>
        </w:rPr>
        <w:t xml:space="preserve">nxiety </w:t>
      </w:r>
      <w:r w:rsidRPr="00A1181D">
        <w:rPr>
          <w:sz w:val="20"/>
          <w:szCs w:val="20"/>
          <w:lang w:val="en-US"/>
        </w:rPr>
        <w:t>S</w:t>
      </w:r>
      <w:r>
        <w:rPr>
          <w:sz w:val="20"/>
          <w:szCs w:val="20"/>
          <w:lang w:val="en-US"/>
        </w:rPr>
        <w:t>ensitivity</w:t>
      </w:r>
      <w:r w:rsidRPr="00A1181D">
        <w:rPr>
          <w:sz w:val="20"/>
          <w:szCs w:val="20"/>
          <w:lang w:val="en-US"/>
        </w:rPr>
        <w:t xml:space="preserve"> Index total score</w:t>
      </w:r>
    </w:p>
  </w:footnote>
  <w:footnote w:id="4">
    <w:p w:rsidR="00097F2A" w:rsidRDefault="00097F2A" w:rsidP="004A11DF">
      <w:pPr>
        <w:pStyle w:val="FootnoteText"/>
      </w:pPr>
      <w:r w:rsidRPr="00831000">
        <w:rPr>
          <w:rStyle w:val="FootnoteReference"/>
        </w:rPr>
        <w:sym w:font="Symbol" w:char="F079"/>
      </w:r>
      <w:r>
        <w:t xml:space="preserve"> </w:t>
      </w:r>
      <w:r w:rsidRPr="00A1181D">
        <w:rPr>
          <w:sz w:val="20"/>
          <w:szCs w:val="20"/>
          <w:lang w:val="en-US"/>
        </w:rPr>
        <w:t xml:space="preserve">Inventory of Parent and Peer Attachment </w:t>
      </w:r>
      <w:r>
        <w:rPr>
          <w:sz w:val="20"/>
          <w:szCs w:val="20"/>
          <w:lang w:val="en-US"/>
        </w:rPr>
        <w:t xml:space="preserve"> - </w:t>
      </w:r>
      <w:r w:rsidRPr="00A1181D">
        <w:rPr>
          <w:sz w:val="20"/>
          <w:szCs w:val="20"/>
          <w:lang w:val="en-US"/>
        </w:rPr>
        <w:t>mother alienation</w:t>
      </w:r>
    </w:p>
  </w:footnote>
  <w:footnote w:id="5">
    <w:p w:rsidR="00097F2A" w:rsidRDefault="00097F2A" w:rsidP="004A11DF">
      <w:pPr>
        <w:pStyle w:val="FootnoteText"/>
      </w:pPr>
      <w:r w:rsidRPr="00831000">
        <w:rPr>
          <w:rStyle w:val="FootnoteReference"/>
        </w:rPr>
        <w:sym w:font="Symbol" w:char="F07A"/>
      </w:r>
      <w:r>
        <w:t xml:space="preserve"> </w:t>
      </w:r>
      <w:r w:rsidRPr="00A1181D">
        <w:rPr>
          <w:sz w:val="20"/>
          <w:szCs w:val="20"/>
          <w:lang w:val="en-US"/>
        </w:rPr>
        <w:t xml:space="preserve">Inventory of Parent and Peer Attachment </w:t>
      </w:r>
      <w:r>
        <w:rPr>
          <w:sz w:val="20"/>
          <w:szCs w:val="20"/>
          <w:lang w:val="en-US"/>
        </w:rPr>
        <w:t xml:space="preserve"> - fa</w:t>
      </w:r>
      <w:r w:rsidRPr="00A1181D">
        <w:rPr>
          <w:sz w:val="20"/>
          <w:szCs w:val="20"/>
          <w:lang w:val="en-US"/>
        </w:rPr>
        <w:t>ther alienation</w:t>
      </w:r>
    </w:p>
  </w:footnote>
  <w:footnote w:id="6">
    <w:p w:rsidR="00097F2A" w:rsidRDefault="00097F2A" w:rsidP="004A11DF">
      <w:pPr>
        <w:pStyle w:val="FootnoteText"/>
      </w:pPr>
      <w:r w:rsidRPr="00831000">
        <w:rPr>
          <w:rStyle w:val="FootnoteReference"/>
        </w:rPr>
        <w:sym w:font="Symbol" w:char="F0B6"/>
      </w:r>
      <w:r>
        <w:t xml:space="preserve"> </w:t>
      </w:r>
      <w:r w:rsidRPr="00A1181D">
        <w:rPr>
          <w:sz w:val="20"/>
          <w:szCs w:val="20"/>
          <w:lang w:val="en-US"/>
        </w:rPr>
        <w:t xml:space="preserve">Inventory of Parent and Peer Attachment </w:t>
      </w:r>
      <w:r>
        <w:rPr>
          <w:sz w:val="20"/>
          <w:szCs w:val="20"/>
          <w:lang w:val="en-US"/>
        </w:rPr>
        <w:t xml:space="preserve"> - pe</w:t>
      </w:r>
      <w:r w:rsidRPr="00A1181D">
        <w:rPr>
          <w:sz w:val="20"/>
          <w:szCs w:val="20"/>
          <w:lang w:val="en-US"/>
        </w:rPr>
        <w:t>er alienation</w:t>
      </w:r>
    </w:p>
  </w:footnote>
  <w:footnote w:id="7">
    <w:p w:rsidR="007C6EFE" w:rsidRDefault="007C6EFE" w:rsidP="007C6EFE">
      <w:pPr>
        <w:pStyle w:val="FootnoteText"/>
      </w:pPr>
      <w:r w:rsidRPr="00831000">
        <w:rPr>
          <w:rStyle w:val="FootnoteReference"/>
        </w:rPr>
        <w:sym w:font="Symbol" w:char="F0B6"/>
      </w:r>
      <w:r>
        <w:t xml:space="preserve"> </w:t>
      </w:r>
      <w:r w:rsidRPr="00A1181D">
        <w:rPr>
          <w:sz w:val="20"/>
          <w:szCs w:val="20"/>
          <w:lang w:val="en-US"/>
        </w:rPr>
        <w:t xml:space="preserve">Inventory of Parent and Peer Attachment </w:t>
      </w:r>
      <w:r>
        <w:rPr>
          <w:sz w:val="20"/>
          <w:szCs w:val="20"/>
          <w:lang w:val="en-US"/>
        </w:rPr>
        <w:t xml:space="preserve"> - pe</w:t>
      </w:r>
      <w:r w:rsidRPr="00A1181D">
        <w:rPr>
          <w:sz w:val="20"/>
          <w:szCs w:val="20"/>
          <w:lang w:val="en-US"/>
        </w:rPr>
        <w:t>er alienation</w:t>
      </w:r>
    </w:p>
  </w:footnote>
  <w:footnote w:id="8">
    <w:p w:rsidR="00097F2A" w:rsidRDefault="00097F2A" w:rsidP="004A11DF">
      <w:pPr>
        <w:pStyle w:val="FootnoteText"/>
      </w:pPr>
      <w:r>
        <w:rPr>
          <w:rStyle w:val="FootnoteReference"/>
        </w:rPr>
        <w:footnoteRef/>
      </w:r>
      <w:r>
        <w:t xml:space="preserve"> </w:t>
      </w:r>
      <w:r w:rsidRPr="00A1181D">
        <w:rPr>
          <w:sz w:val="20"/>
          <w:szCs w:val="20"/>
          <w:lang w:val="en-US"/>
        </w:rPr>
        <w:t>Generalized Anxiety Disorder Questionnaire-IV</w:t>
      </w:r>
    </w:p>
  </w:footnote>
  <w:footnote w:id="9">
    <w:p w:rsidR="00097F2A" w:rsidRDefault="00097F2A" w:rsidP="004A11DF">
      <w:pPr>
        <w:pStyle w:val="FootnoteText"/>
      </w:pPr>
      <w:r>
        <w:rPr>
          <w:rStyle w:val="FootnoteReference"/>
        </w:rPr>
        <w:footnoteRef/>
      </w:r>
      <w:r>
        <w:t xml:space="preserve"> </w:t>
      </w:r>
      <w:r w:rsidRPr="00A1181D">
        <w:rPr>
          <w:sz w:val="20"/>
          <w:szCs w:val="20"/>
          <w:lang w:val="en-US"/>
        </w:rPr>
        <w:t>Penn State Worry Questionnaire</w:t>
      </w:r>
    </w:p>
  </w:footnote>
  <w:footnote w:id="10">
    <w:p w:rsidR="00097F2A" w:rsidRDefault="00097F2A" w:rsidP="004A11DF">
      <w:pPr>
        <w:pStyle w:val="FootnoteText"/>
      </w:pPr>
      <w:r>
        <w:rPr>
          <w:rStyle w:val="FootnoteReference"/>
        </w:rPr>
        <w:footnoteRef/>
      </w:r>
      <w:r>
        <w:t xml:space="preserve"> </w:t>
      </w:r>
      <w:r w:rsidRPr="00A1181D">
        <w:rPr>
          <w:sz w:val="20"/>
          <w:szCs w:val="20"/>
          <w:lang w:val="en-US"/>
        </w:rPr>
        <w:t>A</w:t>
      </w:r>
      <w:r>
        <w:rPr>
          <w:sz w:val="20"/>
          <w:szCs w:val="20"/>
          <w:lang w:val="en-US"/>
        </w:rPr>
        <w:t xml:space="preserve">nxiety </w:t>
      </w:r>
      <w:r w:rsidRPr="00A1181D">
        <w:rPr>
          <w:sz w:val="20"/>
          <w:szCs w:val="20"/>
          <w:lang w:val="en-US"/>
        </w:rPr>
        <w:t>S</w:t>
      </w:r>
      <w:r>
        <w:rPr>
          <w:sz w:val="20"/>
          <w:szCs w:val="20"/>
          <w:lang w:val="en-US"/>
        </w:rPr>
        <w:t>ensitivity</w:t>
      </w:r>
      <w:r w:rsidRPr="00A1181D">
        <w:rPr>
          <w:sz w:val="20"/>
          <w:szCs w:val="20"/>
          <w:lang w:val="en-US"/>
        </w:rPr>
        <w:t xml:space="preserve"> Index total score</w:t>
      </w:r>
    </w:p>
  </w:footnote>
  <w:footnote w:id="11">
    <w:p w:rsidR="00097F2A" w:rsidRDefault="00097F2A" w:rsidP="004A11DF">
      <w:pPr>
        <w:pStyle w:val="FootnoteText"/>
      </w:pPr>
      <w:r w:rsidRPr="00D33671">
        <w:rPr>
          <w:rStyle w:val="FootnoteReference"/>
        </w:rPr>
        <w:sym w:font="Symbol" w:char="F07A"/>
      </w:r>
      <w:r>
        <w:t xml:space="preserve"> </w:t>
      </w:r>
      <w:r w:rsidRPr="00A1181D">
        <w:rPr>
          <w:sz w:val="20"/>
          <w:szCs w:val="20"/>
          <w:lang w:val="en-US"/>
        </w:rPr>
        <w:t>Inventory of P</w:t>
      </w:r>
      <w:r>
        <w:rPr>
          <w:sz w:val="20"/>
          <w:szCs w:val="20"/>
          <w:lang w:val="en-US"/>
        </w:rPr>
        <w:t xml:space="preserve">arent and Peer Attachment - </w:t>
      </w:r>
      <w:r w:rsidRPr="00A1181D">
        <w:rPr>
          <w:sz w:val="20"/>
          <w:szCs w:val="20"/>
          <w:lang w:val="en-US"/>
        </w:rPr>
        <w:t>mother alienation</w:t>
      </w:r>
    </w:p>
  </w:footnote>
  <w:footnote w:id="12">
    <w:p w:rsidR="00097F2A" w:rsidRDefault="00097F2A" w:rsidP="004A11DF">
      <w:pPr>
        <w:pStyle w:val="FootnoteText"/>
        <w:rPr>
          <w:sz w:val="20"/>
          <w:szCs w:val="20"/>
          <w:lang w:val="en-US"/>
        </w:rPr>
      </w:pPr>
      <w:r w:rsidRPr="00D33671">
        <w:rPr>
          <w:rStyle w:val="FootnoteReference"/>
        </w:rPr>
        <w:sym w:font="Symbol" w:char="F0B6"/>
      </w:r>
      <w:r>
        <w:t xml:space="preserve"> </w:t>
      </w:r>
      <w:r w:rsidRPr="00A1181D">
        <w:rPr>
          <w:sz w:val="20"/>
          <w:szCs w:val="20"/>
          <w:lang w:val="en-US"/>
        </w:rPr>
        <w:t>Inventory of P</w:t>
      </w:r>
      <w:r>
        <w:rPr>
          <w:sz w:val="20"/>
          <w:szCs w:val="20"/>
          <w:lang w:val="en-US"/>
        </w:rPr>
        <w:t>arent and Peer Attachment - fa</w:t>
      </w:r>
      <w:r w:rsidRPr="00A1181D">
        <w:rPr>
          <w:sz w:val="20"/>
          <w:szCs w:val="20"/>
          <w:lang w:val="en-US"/>
        </w:rPr>
        <w:t>ther alienation</w:t>
      </w:r>
    </w:p>
    <w:p w:rsidR="007C6EFE" w:rsidRDefault="007C6EFE" w:rsidP="007C6EFE">
      <w:pPr>
        <w:pStyle w:val="FootnoteText"/>
      </w:pPr>
      <w:r w:rsidRPr="00831000">
        <w:rPr>
          <w:rStyle w:val="FootnoteReference"/>
        </w:rPr>
        <w:sym w:font="Symbol" w:char="F0B6"/>
      </w:r>
      <w:r>
        <w:t xml:space="preserve"> </w:t>
      </w:r>
      <w:r w:rsidRPr="00A1181D">
        <w:rPr>
          <w:sz w:val="20"/>
          <w:szCs w:val="20"/>
          <w:lang w:val="en-US"/>
        </w:rPr>
        <w:t xml:space="preserve">Inventory of Parent and Peer Attachment </w:t>
      </w:r>
      <w:r>
        <w:rPr>
          <w:sz w:val="20"/>
          <w:szCs w:val="20"/>
          <w:lang w:val="en-US"/>
        </w:rPr>
        <w:t xml:space="preserve"> - pe</w:t>
      </w:r>
      <w:r w:rsidRPr="00A1181D">
        <w:rPr>
          <w:sz w:val="20"/>
          <w:szCs w:val="20"/>
          <w:lang w:val="en-US"/>
        </w:rPr>
        <w:t>er alienation</w:t>
      </w:r>
    </w:p>
    <w:p w:rsidR="00097F2A" w:rsidRDefault="00097F2A" w:rsidP="004A11DF">
      <w:pPr>
        <w:pStyle w:val="FootnoteText"/>
      </w:pPr>
      <w:r>
        <w:rPr>
          <w:sz w:val="20"/>
          <w:szCs w:val="20"/>
          <w:lang w:val="en-US"/>
        </w:rPr>
        <w:t>** p</w:t>
      </w:r>
      <w:r w:rsidRPr="00A1181D">
        <w:rPr>
          <w:rFonts w:ascii="MinionPro-Capt" w:hAnsi="MinionPro-Capt" w:cs="MinionPro-Capt"/>
          <w:sz w:val="20"/>
          <w:szCs w:val="20"/>
          <w:lang w:val="en-US"/>
        </w:rPr>
        <w:t>&lt; 0.01</w:t>
      </w:r>
    </w:p>
  </w:footnote>
  <w:footnote w:id="13">
    <w:p w:rsidR="00A56DCE" w:rsidRDefault="00A56DCE" w:rsidP="004A11DF">
      <w:pPr>
        <w:pStyle w:val="FootnoteText"/>
      </w:pPr>
      <w:r>
        <w:rPr>
          <w:rStyle w:val="FootnoteReference"/>
        </w:rPr>
        <w:footnoteRef/>
      </w:r>
      <w:r>
        <w:t xml:space="preserve"> </w:t>
      </w:r>
      <w:r w:rsidRPr="00A1181D">
        <w:rPr>
          <w:sz w:val="20"/>
          <w:szCs w:val="20"/>
          <w:lang w:val="en-US"/>
        </w:rPr>
        <w:t>Inventory of P</w:t>
      </w:r>
      <w:r>
        <w:rPr>
          <w:sz w:val="20"/>
          <w:szCs w:val="20"/>
          <w:lang w:val="en-US"/>
        </w:rPr>
        <w:t xml:space="preserve">arent and Peer Attachment - </w:t>
      </w:r>
      <w:r w:rsidRPr="00A1181D">
        <w:rPr>
          <w:sz w:val="20"/>
          <w:szCs w:val="20"/>
          <w:lang w:val="en-US"/>
        </w:rPr>
        <w:t>peer alienation</w:t>
      </w:r>
    </w:p>
  </w:footnote>
  <w:footnote w:id="14">
    <w:p w:rsidR="00A56DCE" w:rsidRDefault="00A56DCE" w:rsidP="004A11DF">
      <w:pPr>
        <w:pStyle w:val="FootnoteText"/>
      </w:pPr>
      <w:r>
        <w:rPr>
          <w:rStyle w:val="FootnoteReference"/>
        </w:rPr>
        <w:footnoteRef/>
      </w:r>
      <w:r>
        <w:t xml:space="preserve"> </w:t>
      </w:r>
      <w:r w:rsidRPr="00A1181D">
        <w:rPr>
          <w:sz w:val="20"/>
          <w:szCs w:val="20"/>
          <w:lang w:val="en-US"/>
        </w:rPr>
        <w:t>Generalized Anxiety Disorder Questionnaire-IV</w:t>
      </w:r>
    </w:p>
  </w:footnote>
  <w:footnote w:id="15">
    <w:p w:rsidR="00A56DCE" w:rsidRDefault="00A56DCE" w:rsidP="004A11DF">
      <w:pPr>
        <w:pStyle w:val="FootnoteText"/>
      </w:pPr>
      <w:r w:rsidRPr="00D33671">
        <w:rPr>
          <w:rStyle w:val="FootnoteReference"/>
        </w:rPr>
        <w:sym w:font="Symbol" w:char="F0B6"/>
      </w:r>
      <w:r>
        <w:t xml:space="preserve"> </w:t>
      </w:r>
      <w:r w:rsidRPr="00A1181D">
        <w:rPr>
          <w:sz w:val="20"/>
          <w:szCs w:val="20"/>
          <w:lang w:val="en-US"/>
        </w:rPr>
        <w:t>Penn State Worry Questionnaire</w:t>
      </w:r>
    </w:p>
  </w:footnote>
  <w:footnote w:id="16">
    <w:p w:rsidR="00A56DCE" w:rsidRDefault="00A56DCE" w:rsidP="004A11DF">
      <w:pPr>
        <w:pStyle w:val="FootnoteText"/>
        <w:rPr>
          <w:sz w:val="20"/>
          <w:szCs w:val="20"/>
          <w:lang w:val="en-US"/>
        </w:rPr>
      </w:pPr>
      <w:r>
        <w:rPr>
          <w:rStyle w:val="FootnoteReference"/>
        </w:rPr>
        <w:footnoteRef/>
      </w:r>
      <w:r>
        <w:t xml:space="preserve"> </w:t>
      </w:r>
      <w:r w:rsidRPr="00A1181D">
        <w:rPr>
          <w:sz w:val="20"/>
          <w:szCs w:val="20"/>
          <w:lang w:val="en-US"/>
        </w:rPr>
        <w:t>A</w:t>
      </w:r>
      <w:r>
        <w:rPr>
          <w:sz w:val="20"/>
          <w:szCs w:val="20"/>
          <w:lang w:val="en-US"/>
        </w:rPr>
        <w:t xml:space="preserve">nxiety </w:t>
      </w:r>
      <w:r w:rsidRPr="00A1181D">
        <w:rPr>
          <w:sz w:val="20"/>
          <w:szCs w:val="20"/>
          <w:lang w:val="en-US"/>
        </w:rPr>
        <w:t>S</w:t>
      </w:r>
      <w:r>
        <w:rPr>
          <w:sz w:val="20"/>
          <w:szCs w:val="20"/>
          <w:lang w:val="en-US"/>
        </w:rPr>
        <w:t>ensitivity</w:t>
      </w:r>
      <w:r w:rsidRPr="00A1181D">
        <w:rPr>
          <w:sz w:val="20"/>
          <w:szCs w:val="20"/>
          <w:lang w:val="en-US"/>
        </w:rPr>
        <w:t xml:space="preserve"> Index total score</w:t>
      </w:r>
    </w:p>
    <w:p w:rsidR="00A56DCE" w:rsidRDefault="00A56DCE" w:rsidP="004A11DF">
      <w:pPr>
        <w:pStyle w:val="FootnoteText"/>
      </w:pPr>
      <w:r>
        <w:rPr>
          <w:sz w:val="20"/>
          <w:szCs w:val="20"/>
          <w:lang w:val="en-US"/>
        </w:rPr>
        <w:t>**</w:t>
      </w:r>
      <w:r w:rsidRPr="00D33671">
        <w:rPr>
          <w:rFonts w:ascii="MinionPro-It" w:hAnsi="MinionPro-It" w:cs="MinionPro-It"/>
          <w:i/>
          <w:iCs/>
          <w:sz w:val="20"/>
          <w:szCs w:val="20"/>
          <w:lang w:val="en-US"/>
        </w:rPr>
        <w:t xml:space="preserve"> </w:t>
      </w:r>
      <w:r w:rsidRPr="00A1181D">
        <w:rPr>
          <w:rFonts w:ascii="MinionPro-It" w:hAnsi="MinionPro-It" w:cs="MinionPro-It"/>
          <w:i/>
          <w:iCs/>
          <w:sz w:val="20"/>
          <w:szCs w:val="20"/>
          <w:lang w:val="en-US"/>
        </w:rPr>
        <w:t xml:space="preserve">p </w:t>
      </w:r>
      <w:r w:rsidRPr="00A1181D">
        <w:rPr>
          <w:rFonts w:ascii="MinionPro-Capt" w:hAnsi="MinionPro-Capt" w:cs="MinionPro-Capt"/>
          <w:sz w:val="20"/>
          <w:szCs w:val="20"/>
          <w:lang w:val="en-US"/>
        </w:rPr>
        <w:t>&lt;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41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E1504"/>
    <w:multiLevelType w:val="multilevel"/>
    <w:tmpl w:val="EDEE482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247764"/>
    <w:multiLevelType w:val="hybridMultilevel"/>
    <w:tmpl w:val="FFDC33C2"/>
    <w:lvl w:ilvl="0" w:tplc="FEB655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377"/>
    <w:multiLevelType w:val="multilevel"/>
    <w:tmpl w:val="46661E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BA2126"/>
    <w:multiLevelType w:val="hybridMultilevel"/>
    <w:tmpl w:val="A986F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BD41F5"/>
    <w:multiLevelType w:val="multilevel"/>
    <w:tmpl w:val="B2BED6B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A294BA2"/>
    <w:multiLevelType w:val="hybridMultilevel"/>
    <w:tmpl w:val="2E7EFF22"/>
    <w:lvl w:ilvl="0" w:tplc="259AF9BC">
      <w:start w:val="1"/>
      <w:numFmt w:val="decimal"/>
      <w:lvlText w:val="%1."/>
      <w:lvlJc w:val="left"/>
      <w:pPr>
        <w:ind w:left="720" w:hanging="360"/>
      </w:pPr>
      <w:rPr>
        <w:rFonts w:ascii="Times New Roman" w:hAnsi="Times New Roman"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05"/>
    <w:rsid w:val="0003589A"/>
    <w:rsid w:val="0006474D"/>
    <w:rsid w:val="00080C93"/>
    <w:rsid w:val="00084F18"/>
    <w:rsid w:val="00097F2A"/>
    <w:rsid w:val="000D16C5"/>
    <w:rsid w:val="000D75D3"/>
    <w:rsid w:val="001015DD"/>
    <w:rsid w:val="00122836"/>
    <w:rsid w:val="00125E32"/>
    <w:rsid w:val="00143B22"/>
    <w:rsid w:val="001863D8"/>
    <w:rsid w:val="00190904"/>
    <w:rsid w:val="001A5443"/>
    <w:rsid w:val="001C606D"/>
    <w:rsid w:val="001D3356"/>
    <w:rsid w:val="001E28F0"/>
    <w:rsid w:val="001F73AE"/>
    <w:rsid w:val="00206BBA"/>
    <w:rsid w:val="00244E27"/>
    <w:rsid w:val="00245D9C"/>
    <w:rsid w:val="00254CD9"/>
    <w:rsid w:val="00262BFC"/>
    <w:rsid w:val="00263E5F"/>
    <w:rsid w:val="0026560D"/>
    <w:rsid w:val="002671D7"/>
    <w:rsid w:val="002857E8"/>
    <w:rsid w:val="002A27C8"/>
    <w:rsid w:val="002A4126"/>
    <w:rsid w:val="002A51A2"/>
    <w:rsid w:val="002B7CE9"/>
    <w:rsid w:val="002D3AFB"/>
    <w:rsid w:val="002D3F5F"/>
    <w:rsid w:val="002D51FC"/>
    <w:rsid w:val="002F3322"/>
    <w:rsid w:val="00304EFD"/>
    <w:rsid w:val="003122A0"/>
    <w:rsid w:val="0031758C"/>
    <w:rsid w:val="00341739"/>
    <w:rsid w:val="003448CB"/>
    <w:rsid w:val="00355949"/>
    <w:rsid w:val="003A41C8"/>
    <w:rsid w:val="003B2B78"/>
    <w:rsid w:val="003B6A6B"/>
    <w:rsid w:val="003B6AE4"/>
    <w:rsid w:val="003C066D"/>
    <w:rsid w:val="003D68AC"/>
    <w:rsid w:val="003E35C1"/>
    <w:rsid w:val="003E7BB8"/>
    <w:rsid w:val="004045B0"/>
    <w:rsid w:val="00422474"/>
    <w:rsid w:val="00435B64"/>
    <w:rsid w:val="00435C8F"/>
    <w:rsid w:val="00437B1C"/>
    <w:rsid w:val="00441FB9"/>
    <w:rsid w:val="00466E8B"/>
    <w:rsid w:val="004A0D13"/>
    <w:rsid w:val="004A11DF"/>
    <w:rsid w:val="004A2869"/>
    <w:rsid w:val="004A5858"/>
    <w:rsid w:val="004B6467"/>
    <w:rsid w:val="004D290B"/>
    <w:rsid w:val="004D7595"/>
    <w:rsid w:val="004E4D0E"/>
    <w:rsid w:val="004F0786"/>
    <w:rsid w:val="005148CF"/>
    <w:rsid w:val="0052134C"/>
    <w:rsid w:val="005352FD"/>
    <w:rsid w:val="00541F2E"/>
    <w:rsid w:val="005512A9"/>
    <w:rsid w:val="00570E68"/>
    <w:rsid w:val="00586D2A"/>
    <w:rsid w:val="005924D5"/>
    <w:rsid w:val="005B75E8"/>
    <w:rsid w:val="005C26B2"/>
    <w:rsid w:val="005C27C0"/>
    <w:rsid w:val="005D3EBE"/>
    <w:rsid w:val="005D6EF7"/>
    <w:rsid w:val="005E405B"/>
    <w:rsid w:val="006277A2"/>
    <w:rsid w:val="00627DC0"/>
    <w:rsid w:val="006317B8"/>
    <w:rsid w:val="00635E2D"/>
    <w:rsid w:val="006373AC"/>
    <w:rsid w:val="00637610"/>
    <w:rsid w:val="00650368"/>
    <w:rsid w:val="00660E94"/>
    <w:rsid w:val="00661670"/>
    <w:rsid w:val="00665BCF"/>
    <w:rsid w:val="006B539E"/>
    <w:rsid w:val="006C5963"/>
    <w:rsid w:val="006C7606"/>
    <w:rsid w:val="006D0DB8"/>
    <w:rsid w:val="006E0AA2"/>
    <w:rsid w:val="00702515"/>
    <w:rsid w:val="00704D8E"/>
    <w:rsid w:val="00712CD3"/>
    <w:rsid w:val="007372BD"/>
    <w:rsid w:val="00743004"/>
    <w:rsid w:val="00745205"/>
    <w:rsid w:val="00757DB7"/>
    <w:rsid w:val="007650AB"/>
    <w:rsid w:val="0077125E"/>
    <w:rsid w:val="007A1269"/>
    <w:rsid w:val="007A535E"/>
    <w:rsid w:val="007C6EFE"/>
    <w:rsid w:val="007D07EA"/>
    <w:rsid w:val="007E0647"/>
    <w:rsid w:val="007F5551"/>
    <w:rsid w:val="0080398F"/>
    <w:rsid w:val="00825473"/>
    <w:rsid w:val="00831000"/>
    <w:rsid w:val="00837ABF"/>
    <w:rsid w:val="0084060F"/>
    <w:rsid w:val="00851FE0"/>
    <w:rsid w:val="00853217"/>
    <w:rsid w:val="0085755F"/>
    <w:rsid w:val="00860C7C"/>
    <w:rsid w:val="008610F2"/>
    <w:rsid w:val="00862510"/>
    <w:rsid w:val="00882E85"/>
    <w:rsid w:val="00891943"/>
    <w:rsid w:val="00895038"/>
    <w:rsid w:val="008B1BFF"/>
    <w:rsid w:val="008F2E06"/>
    <w:rsid w:val="00902787"/>
    <w:rsid w:val="00945141"/>
    <w:rsid w:val="00950102"/>
    <w:rsid w:val="00954384"/>
    <w:rsid w:val="00957CBA"/>
    <w:rsid w:val="00961851"/>
    <w:rsid w:val="009646C4"/>
    <w:rsid w:val="00980BDF"/>
    <w:rsid w:val="00994601"/>
    <w:rsid w:val="009B126B"/>
    <w:rsid w:val="009C40D7"/>
    <w:rsid w:val="009C5641"/>
    <w:rsid w:val="009F0F41"/>
    <w:rsid w:val="00A405BA"/>
    <w:rsid w:val="00A543E7"/>
    <w:rsid w:val="00A56DCE"/>
    <w:rsid w:val="00A64532"/>
    <w:rsid w:val="00A67EC2"/>
    <w:rsid w:val="00AA6B1C"/>
    <w:rsid w:val="00AB7767"/>
    <w:rsid w:val="00AE4D4E"/>
    <w:rsid w:val="00AF75D7"/>
    <w:rsid w:val="00B161FF"/>
    <w:rsid w:val="00B34C59"/>
    <w:rsid w:val="00B3521A"/>
    <w:rsid w:val="00B3681C"/>
    <w:rsid w:val="00B4495B"/>
    <w:rsid w:val="00B51B48"/>
    <w:rsid w:val="00B60808"/>
    <w:rsid w:val="00B7082A"/>
    <w:rsid w:val="00B81195"/>
    <w:rsid w:val="00B84709"/>
    <w:rsid w:val="00B90571"/>
    <w:rsid w:val="00BB4330"/>
    <w:rsid w:val="00BD4A0C"/>
    <w:rsid w:val="00C13B80"/>
    <w:rsid w:val="00C13BFE"/>
    <w:rsid w:val="00C37BC6"/>
    <w:rsid w:val="00C64569"/>
    <w:rsid w:val="00CD6A86"/>
    <w:rsid w:val="00CE2D44"/>
    <w:rsid w:val="00CF0CE4"/>
    <w:rsid w:val="00D13741"/>
    <w:rsid w:val="00D30527"/>
    <w:rsid w:val="00D33671"/>
    <w:rsid w:val="00D56DDD"/>
    <w:rsid w:val="00D61079"/>
    <w:rsid w:val="00D81858"/>
    <w:rsid w:val="00DC68F0"/>
    <w:rsid w:val="00DD6E80"/>
    <w:rsid w:val="00DE3880"/>
    <w:rsid w:val="00DE5048"/>
    <w:rsid w:val="00DF0ACF"/>
    <w:rsid w:val="00E1530E"/>
    <w:rsid w:val="00E47D1F"/>
    <w:rsid w:val="00E52FEB"/>
    <w:rsid w:val="00E544DB"/>
    <w:rsid w:val="00E572BF"/>
    <w:rsid w:val="00E645D7"/>
    <w:rsid w:val="00E6549F"/>
    <w:rsid w:val="00E66F3E"/>
    <w:rsid w:val="00E8563B"/>
    <w:rsid w:val="00EA4EF5"/>
    <w:rsid w:val="00EC588B"/>
    <w:rsid w:val="00ED1975"/>
    <w:rsid w:val="00ED297A"/>
    <w:rsid w:val="00ED2AC4"/>
    <w:rsid w:val="00EE71AD"/>
    <w:rsid w:val="00EF0BF0"/>
    <w:rsid w:val="00EF468C"/>
    <w:rsid w:val="00EF4DC7"/>
    <w:rsid w:val="00F05B2E"/>
    <w:rsid w:val="00F11383"/>
    <w:rsid w:val="00F24AAC"/>
    <w:rsid w:val="00F24B40"/>
    <w:rsid w:val="00F33A02"/>
    <w:rsid w:val="00F50926"/>
    <w:rsid w:val="00F677AC"/>
    <w:rsid w:val="00F74EE7"/>
    <w:rsid w:val="00F96D0E"/>
    <w:rsid w:val="00F976D8"/>
    <w:rsid w:val="00FA1397"/>
    <w:rsid w:val="00FE6794"/>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7A535E"/>
    <w:rPr>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F8B"/>
    <w:pPr>
      <w:spacing w:before="100" w:beforeAutospacing="1" w:after="100" w:afterAutospacing="1"/>
    </w:pPr>
  </w:style>
  <w:style w:type="table" w:styleId="TableGrid">
    <w:name w:val="Table Grid"/>
    <w:basedOn w:val="TableNormal"/>
    <w:uiPriority w:val="59"/>
    <w:rsid w:val="00F4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name">
    <w:name w:val="resultname"/>
    <w:basedOn w:val="DefaultParagraphFont"/>
    <w:rsid w:val="00597FB8"/>
  </w:style>
  <w:style w:type="character" w:customStyle="1" w:styleId="result">
    <w:name w:val="result"/>
    <w:basedOn w:val="DefaultParagraphFont"/>
    <w:rsid w:val="00597FB8"/>
  </w:style>
  <w:style w:type="character" w:styleId="Hyperlink">
    <w:name w:val="Hyperlink"/>
    <w:rsid w:val="00CE38E5"/>
    <w:rPr>
      <w:color w:val="0000FF"/>
      <w:u w:val="single"/>
    </w:rPr>
  </w:style>
  <w:style w:type="paragraph" w:styleId="BalloonText">
    <w:name w:val="Balloon Text"/>
    <w:basedOn w:val="Normal"/>
    <w:link w:val="BalloonTextChar"/>
    <w:rsid w:val="00DE590F"/>
    <w:rPr>
      <w:rFonts w:ascii="Tahoma" w:hAnsi="Tahoma"/>
      <w:sz w:val="16"/>
      <w:szCs w:val="16"/>
    </w:rPr>
  </w:style>
  <w:style w:type="character" w:customStyle="1" w:styleId="BalloonTextChar">
    <w:name w:val="Balloon Text Char"/>
    <w:link w:val="BalloonText"/>
    <w:rsid w:val="00DE590F"/>
    <w:rPr>
      <w:rFonts w:ascii="Tahoma" w:hAnsi="Tahoma" w:cs="Tahoma"/>
      <w:sz w:val="16"/>
      <w:szCs w:val="16"/>
    </w:rPr>
  </w:style>
  <w:style w:type="character" w:customStyle="1" w:styleId="a">
    <w:name w:val="a"/>
    <w:basedOn w:val="DefaultParagraphFont"/>
    <w:rsid w:val="008A2BE9"/>
  </w:style>
  <w:style w:type="character" w:customStyle="1" w:styleId="hps">
    <w:name w:val="hps"/>
    <w:rsid w:val="00196818"/>
  </w:style>
  <w:style w:type="character" w:customStyle="1" w:styleId="st">
    <w:name w:val="st"/>
    <w:rsid w:val="00866C51"/>
  </w:style>
  <w:style w:type="character" w:styleId="Emphasis">
    <w:name w:val="Emphasis"/>
    <w:uiPriority w:val="20"/>
    <w:qFormat/>
    <w:rsid w:val="00866C51"/>
    <w:rPr>
      <w:i/>
      <w:iCs/>
    </w:rPr>
  </w:style>
  <w:style w:type="character" w:styleId="CommentReference">
    <w:name w:val="annotation reference"/>
    <w:rsid w:val="00293AE6"/>
    <w:rPr>
      <w:sz w:val="16"/>
      <w:szCs w:val="16"/>
    </w:rPr>
  </w:style>
  <w:style w:type="paragraph" w:styleId="CommentText">
    <w:name w:val="annotation text"/>
    <w:basedOn w:val="Normal"/>
    <w:link w:val="CommentTextChar"/>
    <w:rsid w:val="00293AE6"/>
    <w:rPr>
      <w:sz w:val="20"/>
      <w:szCs w:val="20"/>
    </w:rPr>
  </w:style>
  <w:style w:type="character" w:customStyle="1" w:styleId="CommentTextChar">
    <w:name w:val="Comment Text Char"/>
    <w:basedOn w:val="DefaultParagraphFont"/>
    <w:link w:val="CommentText"/>
    <w:rsid w:val="00293AE6"/>
  </w:style>
  <w:style w:type="paragraph" w:styleId="CommentSubject">
    <w:name w:val="annotation subject"/>
    <w:basedOn w:val="CommentText"/>
    <w:next w:val="CommentText"/>
    <w:link w:val="CommentSubjectChar"/>
    <w:rsid w:val="00293AE6"/>
    <w:rPr>
      <w:b/>
      <w:bCs/>
    </w:rPr>
  </w:style>
  <w:style w:type="character" w:customStyle="1" w:styleId="CommentSubjectChar">
    <w:name w:val="Comment Subject Char"/>
    <w:link w:val="CommentSubject"/>
    <w:rsid w:val="00293AE6"/>
    <w:rPr>
      <w:b/>
      <w:bCs/>
    </w:rPr>
  </w:style>
  <w:style w:type="character" w:customStyle="1" w:styleId="element-citation">
    <w:name w:val="element-citation"/>
    <w:basedOn w:val="DefaultParagraphFont"/>
    <w:rsid w:val="0050505F"/>
  </w:style>
  <w:style w:type="character" w:customStyle="1" w:styleId="ref-journal">
    <w:name w:val="ref-journal"/>
    <w:basedOn w:val="DefaultParagraphFont"/>
    <w:rsid w:val="0050505F"/>
  </w:style>
  <w:style w:type="paragraph" w:styleId="Header">
    <w:name w:val="header"/>
    <w:basedOn w:val="Normal"/>
    <w:link w:val="HeaderChar"/>
    <w:rsid w:val="002701B2"/>
    <w:pPr>
      <w:tabs>
        <w:tab w:val="center" w:pos="4536"/>
        <w:tab w:val="right" w:pos="9072"/>
      </w:tabs>
    </w:pPr>
  </w:style>
  <w:style w:type="character" w:customStyle="1" w:styleId="HeaderChar">
    <w:name w:val="Header Char"/>
    <w:link w:val="Header"/>
    <w:rsid w:val="002701B2"/>
    <w:rPr>
      <w:sz w:val="24"/>
      <w:szCs w:val="24"/>
    </w:rPr>
  </w:style>
  <w:style w:type="paragraph" w:styleId="Footer">
    <w:name w:val="footer"/>
    <w:basedOn w:val="Normal"/>
    <w:link w:val="FooterChar"/>
    <w:uiPriority w:val="99"/>
    <w:rsid w:val="002701B2"/>
    <w:pPr>
      <w:tabs>
        <w:tab w:val="center" w:pos="4536"/>
        <w:tab w:val="right" w:pos="9072"/>
      </w:tabs>
    </w:pPr>
  </w:style>
  <w:style w:type="character" w:customStyle="1" w:styleId="FooterChar">
    <w:name w:val="Footer Char"/>
    <w:link w:val="Footer"/>
    <w:uiPriority w:val="99"/>
    <w:rsid w:val="002701B2"/>
    <w:rPr>
      <w:sz w:val="24"/>
      <w:szCs w:val="24"/>
    </w:rPr>
  </w:style>
  <w:style w:type="paragraph" w:styleId="ListParagraph">
    <w:name w:val="List Paragraph"/>
    <w:basedOn w:val="Normal"/>
    <w:uiPriority w:val="34"/>
    <w:qFormat/>
    <w:rsid w:val="001F73AE"/>
    <w:pPr>
      <w:ind w:left="720"/>
      <w:contextualSpacing/>
    </w:pPr>
    <w:rPr>
      <w:rFonts w:asciiTheme="minorHAnsi" w:eastAsiaTheme="minorHAnsi" w:hAnsiTheme="minorHAnsi" w:cstheme="minorBidi"/>
      <w:lang w:val="en-US" w:eastAsia="en-US"/>
    </w:rPr>
  </w:style>
  <w:style w:type="paragraph" w:styleId="FootnoteText">
    <w:name w:val="footnote text"/>
    <w:basedOn w:val="Normal"/>
    <w:link w:val="FootnoteTextChar"/>
    <w:rsid w:val="00EF4DC7"/>
  </w:style>
  <w:style w:type="character" w:customStyle="1" w:styleId="FootnoteTextChar">
    <w:name w:val="Footnote Text Char"/>
    <w:basedOn w:val="DefaultParagraphFont"/>
    <w:link w:val="FootnoteText"/>
    <w:rsid w:val="00EF4DC7"/>
    <w:rPr>
      <w:sz w:val="24"/>
      <w:szCs w:val="24"/>
      <w:lang w:val="hr-HR" w:eastAsia="hr-HR"/>
    </w:rPr>
  </w:style>
  <w:style w:type="character" w:styleId="FootnoteReference">
    <w:name w:val="footnote reference"/>
    <w:basedOn w:val="DefaultParagraphFont"/>
    <w:rsid w:val="00EF4DC7"/>
    <w:rPr>
      <w:vertAlign w:val="superscript"/>
    </w:rPr>
  </w:style>
  <w:style w:type="character" w:customStyle="1" w:styleId="apple-converted-space">
    <w:name w:val="apple-converted-space"/>
    <w:basedOn w:val="DefaultParagraphFont"/>
    <w:rsid w:val="004F0786"/>
  </w:style>
  <w:style w:type="character" w:customStyle="1" w:styleId="ref-vol">
    <w:name w:val="ref-vol"/>
    <w:basedOn w:val="DefaultParagraphFont"/>
    <w:rsid w:val="00EE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7A535E"/>
    <w:rPr>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F8B"/>
    <w:pPr>
      <w:spacing w:before="100" w:beforeAutospacing="1" w:after="100" w:afterAutospacing="1"/>
    </w:pPr>
  </w:style>
  <w:style w:type="table" w:styleId="TableGrid">
    <w:name w:val="Table Grid"/>
    <w:basedOn w:val="TableNormal"/>
    <w:uiPriority w:val="59"/>
    <w:rsid w:val="00F4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name">
    <w:name w:val="resultname"/>
    <w:basedOn w:val="DefaultParagraphFont"/>
    <w:rsid w:val="00597FB8"/>
  </w:style>
  <w:style w:type="character" w:customStyle="1" w:styleId="result">
    <w:name w:val="result"/>
    <w:basedOn w:val="DefaultParagraphFont"/>
    <w:rsid w:val="00597FB8"/>
  </w:style>
  <w:style w:type="character" w:styleId="Hyperlink">
    <w:name w:val="Hyperlink"/>
    <w:rsid w:val="00CE38E5"/>
    <w:rPr>
      <w:color w:val="0000FF"/>
      <w:u w:val="single"/>
    </w:rPr>
  </w:style>
  <w:style w:type="paragraph" w:styleId="BalloonText">
    <w:name w:val="Balloon Text"/>
    <w:basedOn w:val="Normal"/>
    <w:link w:val="BalloonTextChar"/>
    <w:rsid w:val="00DE590F"/>
    <w:rPr>
      <w:rFonts w:ascii="Tahoma" w:hAnsi="Tahoma"/>
      <w:sz w:val="16"/>
      <w:szCs w:val="16"/>
    </w:rPr>
  </w:style>
  <w:style w:type="character" w:customStyle="1" w:styleId="BalloonTextChar">
    <w:name w:val="Balloon Text Char"/>
    <w:link w:val="BalloonText"/>
    <w:rsid w:val="00DE590F"/>
    <w:rPr>
      <w:rFonts w:ascii="Tahoma" w:hAnsi="Tahoma" w:cs="Tahoma"/>
      <w:sz w:val="16"/>
      <w:szCs w:val="16"/>
    </w:rPr>
  </w:style>
  <w:style w:type="character" w:customStyle="1" w:styleId="a">
    <w:name w:val="a"/>
    <w:basedOn w:val="DefaultParagraphFont"/>
    <w:rsid w:val="008A2BE9"/>
  </w:style>
  <w:style w:type="character" w:customStyle="1" w:styleId="hps">
    <w:name w:val="hps"/>
    <w:rsid w:val="00196818"/>
  </w:style>
  <w:style w:type="character" w:customStyle="1" w:styleId="st">
    <w:name w:val="st"/>
    <w:rsid w:val="00866C51"/>
  </w:style>
  <w:style w:type="character" w:styleId="Emphasis">
    <w:name w:val="Emphasis"/>
    <w:uiPriority w:val="20"/>
    <w:qFormat/>
    <w:rsid w:val="00866C51"/>
    <w:rPr>
      <w:i/>
      <w:iCs/>
    </w:rPr>
  </w:style>
  <w:style w:type="character" w:styleId="CommentReference">
    <w:name w:val="annotation reference"/>
    <w:rsid w:val="00293AE6"/>
    <w:rPr>
      <w:sz w:val="16"/>
      <w:szCs w:val="16"/>
    </w:rPr>
  </w:style>
  <w:style w:type="paragraph" w:styleId="CommentText">
    <w:name w:val="annotation text"/>
    <w:basedOn w:val="Normal"/>
    <w:link w:val="CommentTextChar"/>
    <w:rsid w:val="00293AE6"/>
    <w:rPr>
      <w:sz w:val="20"/>
      <w:szCs w:val="20"/>
    </w:rPr>
  </w:style>
  <w:style w:type="character" w:customStyle="1" w:styleId="CommentTextChar">
    <w:name w:val="Comment Text Char"/>
    <w:basedOn w:val="DefaultParagraphFont"/>
    <w:link w:val="CommentText"/>
    <w:rsid w:val="00293AE6"/>
  </w:style>
  <w:style w:type="paragraph" w:styleId="CommentSubject">
    <w:name w:val="annotation subject"/>
    <w:basedOn w:val="CommentText"/>
    <w:next w:val="CommentText"/>
    <w:link w:val="CommentSubjectChar"/>
    <w:rsid w:val="00293AE6"/>
    <w:rPr>
      <w:b/>
      <w:bCs/>
    </w:rPr>
  </w:style>
  <w:style w:type="character" w:customStyle="1" w:styleId="CommentSubjectChar">
    <w:name w:val="Comment Subject Char"/>
    <w:link w:val="CommentSubject"/>
    <w:rsid w:val="00293AE6"/>
    <w:rPr>
      <w:b/>
      <w:bCs/>
    </w:rPr>
  </w:style>
  <w:style w:type="character" w:customStyle="1" w:styleId="element-citation">
    <w:name w:val="element-citation"/>
    <w:basedOn w:val="DefaultParagraphFont"/>
    <w:rsid w:val="0050505F"/>
  </w:style>
  <w:style w:type="character" w:customStyle="1" w:styleId="ref-journal">
    <w:name w:val="ref-journal"/>
    <w:basedOn w:val="DefaultParagraphFont"/>
    <w:rsid w:val="0050505F"/>
  </w:style>
  <w:style w:type="paragraph" w:styleId="Header">
    <w:name w:val="header"/>
    <w:basedOn w:val="Normal"/>
    <w:link w:val="HeaderChar"/>
    <w:rsid w:val="002701B2"/>
    <w:pPr>
      <w:tabs>
        <w:tab w:val="center" w:pos="4536"/>
        <w:tab w:val="right" w:pos="9072"/>
      </w:tabs>
    </w:pPr>
  </w:style>
  <w:style w:type="character" w:customStyle="1" w:styleId="HeaderChar">
    <w:name w:val="Header Char"/>
    <w:link w:val="Header"/>
    <w:rsid w:val="002701B2"/>
    <w:rPr>
      <w:sz w:val="24"/>
      <w:szCs w:val="24"/>
    </w:rPr>
  </w:style>
  <w:style w:type="paragraph" w:styleId="Footer">
    <w:name w:val="footer"/>
    <w:basedOn w:val="Normal"/>
    <w:link w:val="FooterChar"/>
    <w:uiPriority w:val="99"/>
    <w:rsid w:val="002701B2"/>
    <w:pPr>
      <w:tabs>
        <w:tab w:val="center" w:pos="4536"/>
        <w:tab w:val="right" w:pos="9072"/>
      </w:tabs>
    </w:pPr>
  </w:style>
  <w:style w:type="character" w:customStyle="1" w:styleId="FooterChar">
    <w:name w:val="Footer Char"/>
    <w:link w:val="Footer"/>
    <w:uiPriority w:val="99"/>
    <w:rsid w:val="002701B2"/>
    <w:rPr>
      <w:sz w:val="24"/>
      <w:szCs w:val="24"/>
    </w:rPr>
  </w:style>
  <w:style w:type="paragraph" w:styleId="ListParagraph">
    <w:name w:val="List Paragraph"/>
    <w:basedOn w:val="Normal"/>
    <w:uiPriority w:val="34"/>
    <w:qFormat/>
    <w:rsid w:val="001F73AE"/>
    <w:pPr>
      <w:ind w:left="720"/>
      <w:contextualSpacing/>
    </w:pPr>
    <w:rPr>
      <w:rFonts w:asciiTheme="minorHAnsi" w:eastAsiaTheme="minorHAnsi" w:hAnsiTheme="minorHAnsi" w:cstheme="minorBidi"/>
      <w:lang w:val="en-US" w:eastAsia="en-US"/>
    </w:rPr>
  </w:style>
  <w:style w:type="paragraph" w:styleId="FootnoteText">
    <w:name w:val="footnote text"/>
    <w:basedOn w:val="Normal"/>
    <w:link w:val="FootnoteTextChar"/>
    <w:rsid w:val="00EF4DC7"/>
  </w:style>
  <w:style w:type="character" w:customStyle="1" w:styleId="FootnoteTextChar">
    <w:name w:val="Footnote Text Char"/>
    <w:basedOn w:val="DefaultParagraphFont"/>
    <w:link w:val="FootnoteText"/>
    <w:rsid w:val="00EF4DC7"/>
    <w:rPr>
      <w:sz w:val="24"/>
      <w:szCs w:val="24"/>
      <w:lang w:val="hr-HR" w:eastAsia="hr-HR"/>
    </w:rPr>
  </w:style>
  <w:style w:type="character" w:styleId="FootnoteReference">
    <w:name w:val="footnote reference"/>
    <w:basedOn w:val="DefaultParagraphFont"/>
    <w:rsid w:val="00EF4DC7"/>
    <w:rPr>
      <w:vertAlign w:val="superscript"/>
    </w:rPr>
  </w:style>
  <w:style w:type="character" w:customStyle="1" w:styleId="apple-converted-space">
    <w:name w:val="apple-converted-space"/>
    <w:basedOn w:val="DefaultParagraphFont"/>
    <w:rsid w:val="004F0786"/>
  </w:style>
  <w:style w:type="character" w:customStyle="1" w:styleId="ref-vol">
    <w:name w:val="ref-vol"/>
    <w:basedOn w:val="DefaultParagraphFont"/>
    <w:rsid w:val="00EE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412439237">
      <w:bodyDiv w:val="1"/>
      <w:marLeft w:val="0"/>
      <w:marRight w:val="0"/>
      <w:marTop w:val="0"/>
      <w:marBottom w:val="0"/>
      <w:divBdr>
        <w:top w:val="none" w:sz="0" w:space="0" w:color="auto"/>
        <w:left w:val="none" w:sz="0" w:space="0" w:color="auto"/>
        <w:bottom w:val="none" w:sz="0" w:space="0" w:color="auto"/>
        <w:right w:val="none" w:sz="0" w:space="0" w:color="auto"/>
      </w:divBdr>
      <w:divsChild>
        <w:div w:id="604575823">
          <w:marLeft w:val="0"/>
          <w:marRight w:val="0"/>
          <w:marTop w:val="0"/>
          <w:marBottom w:val="0"/>
          <w:divBdr>
            <w:top w:val="none" w:sz="0" w:space="0" w:color="auto"/>
            <w:left w:val="none" w:sz="0" w:space="0" w:color="auto"/>
            <w:bottom w:val="none" w:sz="0" w:space="0" w:color="auto"/>
            <w:right w:val="none" w:sz="0" w:space="0" w:color="auto"/>
          </w:divBdr>
        </w:div>
      </w:divsChild>
    </w:div>
    <w:div w:id="509181349">
      <w:bodyDiv w:val="1"/>
      <w:marLeft w:val="0"/>
      <w:marRight w:val="0"/>
      <w:marTop w:val="0"/>
      <w:marBottom w:val="0"/>
      <w:divBdr>
        <w:top w:val="none" w:sz="0" w:space="0" w:color="auto"/>
        <w:left w:val="none" w:sz="0" w:space="0" w:color="auto"/>
        <w:bottom w:val="none" w:sz="0" w:space="0" w:color="auto"/>
        <w:right w:val="none" w:sz="0" w:space="0" w:color="auto"/>
      </w:divBdr>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527564875">
          <w:marLeft w:val="0"/>
          <w:marRight w:val="0"/>
          <w:marTop w:val="0"/>
          <w:marBottom w:val="0"/>
          <w:divBdr>
            <w:top w:val="none" w:sz="0" w:space="0" w:color="auto"/>
            <w:left w:val="none" w:sz="0" w:space="0" w:color="auto"/>
            <w:bottom w:val="none" w:sz="0" w:space="0" w:color="auto"/>
            <w:right w:val="none" w:sz="0" w:space="0" w:color="auto"/>
          </w:divBdr>
        </w:div>
        <w:div w:id="1402631151">
          <w:marLeft w:val="0"/>
          <w:marRight w:val="0"/>
          <w:marTop w:val="0"/>
          <w:marBottom w:val="0"/>
          <w:divBdr>
            <w:top w:val="none" w:sz="0" w:space="0" w:color="auto"/>
            <w:left w:val="none" w:sz="0" w:space="0" w:color="auto"/>
            <w:bottom w:val="none" w:sz="0" w:space="0" w:color="auto"/>
            <w:right w:val="none" w:sz="0" w:space="0" w:color="auto"/>
          </w:divBdr>
        </w:div>
      </w:divsChild>
    </w:div>
    <w:div w:id="1002002445">
      <w:bodyDiv w:val="1"/>
      <w:marLeft w:val="0"/>
      <w:marRight w:val="0"/>
      <w:marTop w:val="0"/>
      <w:marBottom w:val="0"/>
      <w:divBdr>
        <w:top w:val="none" w:sz="0" w:space="0" w:color="auto"/>
        <w:left w:val="none" w:sz="0" w:space="0" w:color="auto"/>
        <w:bottom w:val="none" w:sz="0" w:space="0" w:color="auto"/>
        <w:right w:val="none" w:sz="0" w:space="0" w:color="auto"/>
      </w:divBdr>
      <w:divsChild>
        <w:div w:id="313531403">
          <w:marLeft w:val="0"/>
          <w:marRight w:val="0"/>
          <w:marTop w:val="0"/>
          <w:marBottom w:val="0"/>
          <w:divBdr>
            <w:top w:val="none" w:sz="0" w:space="0" w:color="auto"/>
            <w:left w:val="none" w:sz="0" w:space="0" w:color="auto"/>
            <w:bottom w:val="none" w:sz="0" w:space="0" w:color="auto"/>
            <w:right w:val="none" w:sz="0" w:space="0" w:color="auto"/>
          </w:divBdr>
        </w:div>
        <w:div w:id="1946688544">
          <w:marLeft w:val="0"/>
          <w:marRight w:val="0"/>
          <w:marTop w:val="0"/>
          <w:marBottom w:val="0"/>
          <w:divBdr>
            <w:top w:val="none" w:sz="0" w:space="0" w:color="auto"/>
            <w:left w:val="none" w:sz="0" w:space="0" w:color="auto"/>
            <w:bottom w:val="none" w:sz="0" w:space="0" w:color="auto"/>
            <w:right w:val="none" w:sz="0" w:space="0" w:color="auto"/>
          </w:divBdr>
        </w:div>
        <w:div w:id="2065643846">
          <w:marLeft w:val="0"/>
          <w:marRight w:val="0"/>
          <w:marTop w:val="0"/>
          <w:marBottom w:val="0"/>
          <w:divBdr>
            <w:top w:val="none" w:sz="0" w:space="0" w:color="auto"/>
            <w:left w:val="none" w:sz="0" w:space="0" w:color="auto"/>
            <w:bottom w:val="none" w:sz="0" w:space="0" w:color="auto"/>
            <w:right w:val="none" w:sz="0" w:space="0" w:color="auto"/>
          </w:divBdr>
        </w:div>
      </w:divsChild>
    </w:div>
    <w:div w:id="1003780469">
      <w:bodyDiv w:val="1"/>
      <w:marLeft w:val="0"/>
      <w:marRight w:val="0"/>
      <w:marTop w:val="0"/>
      <w:marBottom w:val="0"/>
      <w:divBdr>
        <w:top w:val="none" w:sz="0" w:space="0" w:color="auto"/>
        <w:left w:val="none" w:sz="0" w:space="0" w:color="auto"/>
        <w:bottom w:val="none" w:sz="0" w:space="0" w:color="auto"/>
        <w:right w:val="none" w:sz="0" w:space="0" w:color="auto"/>
      </w:divBdr>
      <w:divsChild>
        <w:div w:id="1922640856">
          <w:marLeft w:val="0"/>
          <w:marRight w:val="0"/>
          <w:marTop w:val="0"/>
          <w:marBottom w:val="0"/>
          <w:divBdr>
            <w:top w:val="none" w:sz="0" w:space="0" w:color="auto"/>
            <w:left w:val="none" w:sz="0" w:space="0" w:color="auto"/>
            <w:bottom w:val="none" w:sz="0" w:space="0" w:color="auto"/>
            <w:right w:val="none" w:sz="0" w:space="0" w:color="auto"/>
          </w:divBdr>
        </w:div>
        <w:div w:id="437526304">
          <w:marLeft w:val="0"/>
          <w:marRight w:val="0"/>
          <w:marTop w:val="0"/>
          <w:marBottom w:val="0"/>
          <w:divBdr>
            <w:top w:val="none" w:sz="0" w:space="0" w:color="auto"/>
            <w:left w:val="none" w:sz="0" w:space="0" w:color="auto"/>
            <w:bottom w:val="none" w:sz="0" w:space="0" w:color="auto"/>
            <w:right w:val="none" w:sz="0" w:space="0" w:color="auto"/>
          </w:divBdr>
        </w:div>
        <w:div w:id="760024486">
          <w:marLeft w:val="0"/>
          <w:marRight w:val="0"/>
          <w:marTop w:val="0"/>
          <w:marBottom w:val="0"/>
          <w:divBdr>
            <w:top w:val="none" w:sz="0" w:space="0" w:color="auto"/>
            <w:left w:val="none" w:sz="0" w:space="0" w:color="auto"/>
            <w:bottom w:val="none" w:sz="0" w:space="0" w:color="auto"/>
            <w:right w:val="none" w:sz="0" w:space="0" w:color="auto"/>
          </w:divBdr>
        </w:div>
        <w:div w:id="837310251">
          <w:marLeft w:val="0"/>
          <w:marRight w:val="0"/>
          <w:marTop w:val="0"/>
          <w:marBottom w:val="0"/>
          <w:divBdr>
            <w:top w:val="none" w:sz="0" w:space="0" w:color="auto"/>
            <w:left w:val="none" w:sz="0" w:space="0" w:color="auto"/>
            <w:bottom w:val="none" w:sz="0" w:space="0" w:color="auto"/>
            <w:right w:val="none" w:sz="0" w:space="0" w:color="auto"/>
          </w:divBdr>
        </w:div>
        <w:div w:id="913124787">
          <w:marLeft w:val="0"/>
          <w:marRight w:val="0"/>
          <w:marTop w:val="0"/>
          <w:marBottom w:val="0"/>
          <w:divBdr>
            <w:top w:val="none" w:sz="0" w:space="0" w:color="auto"/>
            <w:left w:val="none" w:sz="0" w:space="0" w:color="auto"/>
            <w:bottom w:val="none" w:sz="0" w:space="0" w:color="auto"/>
            <w:right w:val="none" w:sz="0" w:space="0" w:color="auto"/>
          </w:divBdr>
        </w:div>
        <w:div w:id="794519764">
          <w:marLeft w:val="0"/>
          <w:marRight w:val="0"/>
          <w:marTop w:val="0"/>
          <w:marBottom w:val="0"/>
          <w:divBdr>
            <w:top w:val="none" w:sz="0" w:space="0" w:color="auto"/>
            <w:left w:val="none" w:sz="0" w:space="0" w:color="auto"/>
            <w:bottom w:val="none" w:sz="0" w:space="0" w:color="auto"/>
            <w:right w:val="none" w:sz="0" w:space="0" w:color="auto"/>
          </w:divBdr>
        </w:div>
      </w:divsChild>
    </w:div>
    <w:div w:id="1047069640">
      <w:bodyDiv w:val="1"/>
      <w:marLeft w:val="0"/>
      <w:marRight w:val="0"/>
      <w:marTop w:val="0"/>
      <w:marBottom w:val="0"/>
      <w:divBdr>
        <w:top w:val="none" w:sz="0" w:space="0" w:color="auto"/>
        <w:left w:val="none" w:sz="0" w:space="0" w:color="auto"/>
        <w:bottom w:val="none" w:sz="0" w:space="0" w:color="auto"/>
        <w:right w:val="none" w:sz="0" w:space="0" w:color="auto"/>
      </w:divBdr>
    </w:div>
    <w:div w:id="1088497764">
      <w:bodyDiv w:val="1"/>
      <w:marLeft w:val="0"/>
      <w:marRight w:val="0"/>
      <w:marTop w:val="0"/>
      <w:marBottom w:val="0"/>
      <w:divBdr>
        <w:top w:val="none" w:sz="0" w:space="0" w:color="auto"/>
        <w:left w:val="none" w:sz="0" w:space="0" w:color="auto"/>
        <w:bottom w:val="none" w:sz="0" w:space="0" w:color="auto"/>
        <w:right w:val="none" w:sz="0" w:space="0" w:color="auto"/>
      </w:divBdr>
      <w:divsChild>
        <w:div w:id="1191340769">
          <w:marLeft w:val="0"/>
          <w:marRight w:val="0"/>
          <w:marTop w:val="0"/>
          <w:marBottom w:val="0"/>
          <w:divBdr>
            <w:top w:val="none" w:sz="0" w:space="0" w:color="auto"/>
            <w:left w:val="none" w:sz="0" w:space="0" w:color="auto"/>
            <w:bottom w:val="none" w:sz="0" w:space="0" w:color="auto"/>
            <w:right w:val="none" w:sz="0" w:space="0" w:color="auto"/>
          </w:divBdr>
        </w:div>
        <w:div w:id="1867868963">
          <w:marLeft w:val="0"/>
          <w:marRight w:val="0"/>
          <w:marTop w:val="0"/>
          <w:marBottom w:val="0"/>
          <w:divBdr>
            <w:top w:val="none" w:sz="0" w:space="0" w:color="auto"/>
            <w:left w:val="none" w:sz="0" w:space="0" w:color="auto"/>
            <w:bottom w:val="none" w:sz="0" w:space="0" w:color="auto"/>
            <w:right w:val="none" w:sz="0" w:space="0" w:color="auto"/>
          </w:divBdr>
        </w:div>
      </w:divsChild>
    </w:div>
    <w:div w:id="1260527699">
      <w:bodyDiv w:val="1"/>
      <w:marLeft w:val="0"/>
      <w:marRight w:val="0"/>
      <w:marTop w:val="0"/>
      <w:marBottom w:val="0"/>
      <w:divBdr>
        <w:top w:val="none" w:sz="0" w:space="0" w:color="auto"/>
        <w:left w:val="none" w:sz="0" w:space="0" w:color="auto"/>
        <w:bottom w:val="none" w:sz="0" w:space="0" w:color="auto"/>
        <w:right w:val="none" w:sz="0" w:space="0" w:color="auto"/>
      </w:divBdr>
      <w:divsChild>
        <w:div w:id="279990883">
          <w:marLeft w:val="0"/>
          <w:marRight w:val="0"/>
          <w:marTop w:val="0"/>
          <w:marBottom w:val="0"/>
          <w:divBdr>
            <w:top w:val="none" w:sz="0" w:space="0" w:color="auto"/>
            <w:left w:val="none" w:sz="0" w:space="0" w:color="auto"/>
            <w:bottom w:val="none" w:sz="0" w:space="0" w:color="auto"/>
            <w:right w:val="none" w:sz="0" w:space="0" w:color="auto"/>
          </w:divBdr>
        </w:div>
        <w:div w:id="567765613">
          <w:marLeft w:val="0"/>
          <w:marRight w:val="0"/>
          <w:marTop w:val="0"/>
          <w:marBottom w:val="0"/>
          <w:divBdr>
            <w:top w:val="none" w:sz="0" w:space="0" w:color="auto"/>
            <w:left w:val="none" w:sz="0" w:space="0" w:color="auto"/>
            <w:bottom w:val="none" w:sz="0" w:space="0" w:color="auto"/>
            <w:right w:val="none" w:sz="0" w:space="0" w:color="auto"/>
          </w:divBdr>
        </w:div>
        <w:div w:id="1151602314">
          <w:marLeft w:val="0"/>
          <w:marRight w:val="0"/>
          <w:marTop w:val="0"/>
          <w:marBottom w:val="0"/>
          <w:divBdr>
            <w:top w:val="none" w:sz="0" w:space="0" w:color="auto"/>
            <w:left w:val="none" w:sz="0" w:space="0" w:color="auto"/>
            <w:bottom w:val="none" w:sz="0" w:space="0" w:color="auto"/>
            <w:right w:val="none" w:sz="0" w:space="0" w:color="auto"/>
          </w:divBdr>
        </w:div>
        <w:div w:id="1217089500">
          <w:marLeft w:val="0"/>
          <w:marRight w:val="0"/>
          <w:marTop w:val="0"/>
          <w:marBottom w:val="0"/>
          <w:divBdr>
            <w:top w:val="none" w:sz="0" w:space="0" w:color="auto"/>
            <w:left w:val="none" w:sz="0" w:space="0" w:color="auto"/>
            <w:bottom w:val="none" w:sz="0" w:space="0" w:color="auto"/>
            <w:right w:val="none" w:sz="0" w:space="0" w:color="auto"/>
          </w:divBdr>
        </w:div>
        <w:div w:id="1381831289">
          <w:marLeft w:val="0"/>
          <w:marRight w:val="0"/>
          <w:marTop w:val="0"/>
          <w:marBottom w:val="0"/>
          <w:divBdr>
            <w:top w:val="none" w:sz="0" w:space="0" w:color="auto"/>
            <w:left w:val="none" w:sz="0" w:space="0" w:color="auto"/>
            <w:bottom w:val="none" w:sz="0" w:space="0" w:color="auto"/>
            <w:right w:val="none" w:sz="0" w:space="0" w:color="auto"/>
          </w:divBdr>
        </w:div>
      </w:divsChild>
    </w:div>
    <w:div w:id="1268153652">
      <w:bodyDiv w:val="1"/>
      <w:marLeft w:val="0"/>
      <w:marRight w:val="0"/>
      <w:marTop w:val="0"/>
      <w:marBottom w:val="0"/>
      <w:divBdr>
        <w:top w:val="none" w:sz="0" w:space="0" w:color="auto"/>
        <w:left w:val="none" w:sz="0" w:space="0" w:color="auto"/>
        <w:bottom w:val="none" w:sz="0" w:space="0" w:color="auto"/>
        <w:right w:val="none" w:sz="0" w:space="0" w:color="auto"/>
      </w:divBdr>
      <w:divsChild>
        <w:div w:id="228073379">
          <w:marLeft w:val="0"/>
          <w:marRight w:val="0"/>
          <w:marTop w:val="0"/>
          <w:marBottom w:val="0"/>
          <w:divBdr>
            <w:top w:val="none" w:sz="0" w:space="0" w:color="auto"/>
            <w:left w:val="none" w:sz="0" w:space="0" w:color="auto"/>
            <w:bottom w:val="none" w:sz="0" w:space="0" w:color="auto"/>
            <w:right w:val="none" w:sz="0" w:space="0" w:color="auto"/>
          </w:divBdr>
        </w:div>
        <w:div w:id="397745423">
          <w:marLeft w:val="0"/>
          <w:marRight w:val="0"/>
          <w:marTop w:val="0"/>
          <w:marBottom w:val="0"/>
          <w:divBdr>
            <w:top w:val="none" w:sz="0" w:space="0" w:color="auto"/>
            <w:left w:val="none" w:sz="0" w:space="0" w:color="auto"/>
            <w:bottom w:val="none" w:sz="0" w:space="0" w:color="auto"/>
            <w:right w:val="none" w:sz="0" w:space="0" w:color="auto"/>
          </w:divBdr>
        </w:div>
        <w:div w:id="408698714">
          <w:marLeft w:val="0"/>
          <w:marRight w:val="0"/>
          <w:marTop w:val="0"/>
          <w:marBottom w:val="0"/>
          <w:divBdr>
            <w:top w:val="none" w:sz="0" w:space="0" w:color="auto"/>
            <w:left w:val="none" w:sz="0" w:space="0" w:color="auto"/>
            <w:bottom w:val="none" w:sz="0" w:space="0" w:color="auto"/>
            <w:right w:val="none" w:sz="0" w:space="0" w:color="auto"/>
          </w:divBdr>
        </w:div>
        <w:div w:id="427122176">
          <w:marLeft w:val="0"/>
          <w:marRight w:val="0"/>
          <w:marTop w:val="0"/>
          <w:marBottom w:val="0"/>
          <w:divBdr>
            <w:top w:val="none" w:sz="0" w:space="0" w:color="auto"/>
            <w:left w:val="none" w:sz="0" w:space="0" w:color="auto"/>
            <w:bottom w:val="none" w:sz="0" w:space="0" w:color="auto"/>
            <w:right w:val="none" w:sz="0" w:space="0" w:color="auto"/>
          </w:divBdr>
        </w:div>
        <w:div w:id="444421434">
          <w:marLeft w:val="0"/>
          <w:marRight w:val="0"/>
          <w:marTop w:val="0"/>
          <w:marBottom w:val="0"/>
          <w:divBdr>
            <w:top w:val="none" w:sz="0" w:space="0" w:color="auto"/>
            <w:left w:val="none" w:sz="0" w:space="0" w:color="auto"/>
            <w:bottom w:val="none" w:sz="0" w:space="0" w:color="auto"/>
            <w:right w:val="none" w:sz="0" w:space="0" w:color="auto"/>
          </w:divBdr>
        </w:div>
        <w:div w:id="466779787">
          <w:marLeft w:val="0"/>
          <w:marRight w:val="0"/>
          <w:marTop w:val="0"/>
          <w:marBottom w:val="0"/>
          <w:divBdr>
            <w:top w:val="none" w:sz="0" w:space="0" w:color="auto"/>
            <w:left w:val="none" w:sz="0" w:space="0" w:color="auto"/>
            <w:bottom w:val="none" w:sz="0" w:space="0" w:color="auto"/>
            <w:right w:val="none" w:sz="0" w:space="0" w:color="auto"/>
          </w:divBdr>
        </w:div>
        <w:div w:id="551036781">
          <w:marLeft w:val="0"/>
          <w:marRight w:val="0"/>
          <w:marTop w:val="0"/>
          <w:marBottom w:val="0"/>
          <w:divBdr>
            <w:top w:val="none" w:sz="0" w:space="0" w:color="auto"/>
            <w:left w:val="none" w:sz="0" w:space="0" w:color="auto"/>
            <w:bottom w:val="none" w:sz="0" w:space="0" w:color="auto"/>
            <w:right w:val="none" w:sz="0" w:space="0" w:color="auto"/>
          </w:divBdr>
        </w:div>
        <w:div w:id="570382740">
          <w:marLeft w:val="0"/>
          <w:marRight w:val="0"/>
          <w:marTop w:val="0"/>
          <w:marBottom w:val="0"/>
          <w:divBdr>
            <w:top w:val="none" w:sz="0" w:space="0" w:color="auto"/>
            <w:left w:val="none" w:sz="0" w:space="0" w:color="auto"/>
            <w:bottom w:val="none" w:sz="0" w:space="0" w:color="auto"/>
            <w:right w:val="none" w:sz="0" w:space="0" w:color="auto"/>
          </w:divBdr>
        </w:div>
        <w:div w:id="617444961">
          <w:marLeft w:val="0"/>
          <w:marRight w:val="0"/>
          <w:marTop w:val="0"/>
          <w:marBottom w:val="0"/>
          <w:divBdr>
            <w:top w:val="none" w:sz="0" w:space="0" w:color="auto"/>
            <w:left w:val="none" w:sz="0" w:space="0" w:color="auto"/>
            <w:bottom w:val="none" w:sz="0" w:space="0" w:color="auto"/>
            <w:right w:val="none" w:sz="0" w:space="0" w:color="auto"/>
          </w:divBdr>
        </w:div>
        <w:div w:id="718550981">
          <w:marLeft w:val="0"/>
          <w:marRight w:val="0"/>
          <w:marTop w:val="0"/>
          <w:marBottom w:val="0"/>
          <w:divBdr>
            <w:top w:val="none" w:sz="0" w:space="0" w:color="auto"/>
            <w:left w:val="none" w:sz="0" w:space="0" w:color="auto"/>
            <w:bottom w:val="none" w:sz="0" w:space="0" w:color="auto"/>
            <w:right w:val="none" w:sz="0" w:space="0" w:color="auto"/>
          </w:divBdr>
        </w:div>
        <w:div w:id="818041008">
          <w:marLeft w:val="0"/>
          <w:marRight w:val="0"/>
          <w:marTop w:val="0"/>
          <w:marBottom w:val="0"/>
          <w:divBdr>
            <w:top w:val="none" w:sz="0" w:space="0" w:color="auto"/>
            <w:left w:val="none" w:sz="0" w:space="0" w:color="auto"/>
            <w:bottom w:val="none" w:sz="0" w:space="0" w:color="auto"/>
            <w:right w:val="none" w:sz="0" w:space="0" w:color="auto"/>
          </w:divBdr>
        </w:div>
        <w:div w:id="825513489">
          <w:marLeft w:val="0"/>
          <w:marRight w:val="0"/>
          <w:marTop w:val="0"/>
          <w:marBottom w:val="0"/>
          <w:divBdr>
            <w:top w:val="none" w:sz="0" w:space="0" w:color="auto"/>
            <w:left w:val="none" w:sz="0" w:space="0" w:color="auto"/>
            <w:bottom w:val="none" w:sz="0" w:space="0" w:color="auto"/>
            <w:right w:val="none" w:sz="0" w:space="0" w:color="auto"/>
          </w:divBdr>
        </w:div>
        <w:div w:id="1084565635">
          <w:marLeft w:val="0"/>
          <w:marRight w:val="0"/>
          <w:marTop w:val="0"/>
          <w:marBottom w:val="0"/>
          <w:divBdr>
            <w:top w:val="none" w:sz="0" w:space="0" w:color="auto"/>
            <w:left w:val="none" w:sz="0" w:space="0" w:color="auto"/>
            <w:bottom w:val="none" w:sz="0" w:space="0" w:color="auto"/>
            <w:right w:val="none" w:sz="0" w:space="0" w:color="auto"/>
          </w:divBdr>
        </w:div>
        <w:div w:id="1175538747">
          <w:marLeft w:val="0"/>
          <w:marRight w:val="0"/>
          <w:marTop w:val="0"/>
          <w:marBottom w:val="0"/>
          <w:divBdr>
            <w:top w:val="none" w:sz="0" w:space="0" w:color="auto"/>
            <w:left w:val="none" w:sz="0" w:space="0" w:color="auto"/>
            <w:bottom w:val="none" w:sz="0" w:space="0" w:color="auto"/>
            <w:right w:val="none" w:sz="0" w:space="0" w:color="auto"/>
          </w:divBdr>
        </w:div>
        <w:div w:id="1246648053">
          <w:marLeft w:val="0"/>
          <w:marRight w:val="0"/>
          <w:marTop w:val="0"/>
          <w:marBottom w:val="0"/>
          <w:divBdr>
            <w:top w:val="none" w:sz="0" w:space="0" w:color="auto"/>
            <w:left w:val="none" w:sz="0" w:space="0" w:color="auto"/>
            <w:bottom w:val="none" w:sz="0" w:space="0" w:color="auto"/>
            <w:right w:val="none" w:sz="0" w:space="0" w:color="auto"/>
          </w:divBdr>
        </w:div>
        <w:div w:id="1311129577">
          <w:marLeft w:val="0"/>
          <w:marRight w:val="0"/>
          <w:marTop w:val="0"/>
          <w:marBottom w:val="0"/>
          <w:divBdr>
            <w:top w:val="none" w:sz="0" w:space="0" w:color="auto"/>
            <w:left w:val="none" w:sz="0" w:space="0" w:color="auto"/>
            <w:bottom w:val="none" w:sz="0" w:space="0" w:color="auto"/>
            <w:right w:val="none" w:sz="0" w:space="0" w:color="auto"/>
          </w:divBdr>
        </w:div>
        <w:div w:id="1527594039">
          <w:marLeft w:val="0"/>
          <w:marRight w:val="0"/>
          <w:marTop w:val="0"/>
          <w:marBottom w:val="0"/>
          <w:divBdr>
            <w:top w:val="none" w:sz="0" w:space="0" w:color="auto"/>
            <w:left w:val="none" w:sz="0" w:space="0" w:color="auto"/>
            <w:bottom w:val="none" w:sz="0" w:space="0" w:color="auto"/>
            <w:right w:val="none" w:sz="0" w:space="0" w:color="auto"/>
          </w:divBdr>
        </w:div>
        <w:div w:id="1564944210">
          <w:marLeft w:val="0"/>
          <w:marRight w:val="0"/>
          <w:marTop w:val="0"/>
          <w:marBottom w:val="0"/>
          <w:divBdr>
            <w:top w:val="none" w:sz="0" w:space="0" w:color="auto"/>
            <w:left w:val="none" w:sz="0" w:space="0" w:color="auto"/>
            <w:bottom w:val="none" w:sz="0" w:space="0" w:color="auto"/>
            <w:right w:val="none" w:sz="0" w:space="0" w:color="auto"/>
          </w:divBdr>
        </w:div>
        <w:div w:id="1945259371">
          <w:marLeft w:val="0"/>
          <w:marRight w:val="0"/>
          <w:marTop w:val="0"/>
          <w:marBottom w:val="0"/>
          <w:divBdr>
            <w:top w:val="none" w:sz="0" w:space="0" w:color="auto"/>
            <w:left w:val="none" w:sz="0" w:space="0" w:color="auto"/>
            <w:bottom w:val="none" w:sz="0" w:space="0" w:color="auto"/>
            <w:right w:val="none" w:sz="0" w:space="0" w:color="auto"/>
          </w:divBdr>
        </w:div>
        <w:div w:id="2029210948">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73966382">
          <w:marLeft w:val="0"/>
          <w:marRight w:val="0"/>
          <w:marTop w:val="0"/>
          <w:marBottom w:val="0"/>
          <w:divBdr>
            <w:top w:val="none" w:sz="0" w:space="0" w:color="auto"/>
            <w:left w:val="none" w:sz="0" w:space="0" w:color="auto"/>
            <w:bottom w:val="none" w:sz="0" w:space="0" w:color="auto"/>
            <w:right w:val="none" w:sz="0" w:space="0" w:color="auto"/>
          </w:divBdr>
        </w:div>
      </w:divsChild>
    </w:div>
    <w:div w:id="1330598258">
      <w:bodyDiv w:val="1"/>
      <w:marLeft w:val="0"/>
      <w:marRight w:val="0"/>
      <w:marTop w:val="0"/>
      <w:marBottom w:val="0"/>
      <w:divBdr>
        <w:top w:val="none" w:sz="0" w:space="0" w:color="auto"/>
        <w:left w:val="none" w:sz="0" w:space="0" w:color="auto"/>
        <w:bottom w:val="none" w:sz="0" w:space="0" w:color="auto"/>
        <w:right w:val="none" w:sz="0" w:space="0" w:color="auto"/>
      </w:divBdr>
      <w:divsChild>
        <w:div w:id="22826677">
          <w:marLeft w:val="0"/>
          <w:marRight w:val="0"/>
          <w:marTop w:val="0"/>
          <w:marBottom w:val="0"/>
          <w:divBdr>
            <w:top w:val="none" w:sz="0" w:space="0" w:color="auto"/>
            <w:left w:val="none" w:sz="0" w:space="0" w:color="auto"/>
            <w:bottom w:val="none" w:sz="0" w:space="0" w:color="auto"/>
            <w:right w:val="none" w:sz="0" w:space="0" w:color="auto"/>
          </w:divBdr>
        </w:div>
        <w:div w:id="440809011">
          <w:marLeft w:val="0"/>
          <w:marRight w:val="0"/>
          <w:marTop w:val="0"/>
          <w:marBottom w:val="0"/>
          <w:divBdr>
            <w:top w:val="none" w:sz="0" w:space="0" w:color="auto"/>
            <w:left w:val="none" w:sz="0" w:space="0" w:color="auto"/>
            <w:bottom w:val="none" w:sz="0" w:space="0" w:color="auto"/>
            <w:right w:val="none" w:sz="0" w:space="0" w:color="auto"/>
          </w:divBdr>
        </w:div>
        <w:div w:id="1814252813">
          <w:marLeft w:val="0"/>
          <w:marRight w:val="0"/>
          <w:marTop w:val="0"/>
          <w:marBottom w:val="0"/>
          <w:divBdr>
            <w:top w:val="none" w:sz="0" w:space="0" w:color="auto"/>
            <w:left w:val="none" w:sz="0" w:space="0" w:color="auto"/>
            <w:bottom w:val="none" w:sz="0" w:space="0" w:color="auto"/>
            <w:right w:val="none" w:sz="0" w:space="0" w:color="auto"/>
          </w:divBdr>
        </w:div>
      </w:divsChild>
    </w:div>
    <w:div w:id="1401057108">
      <w:bodyDiv w:val="1"/>
      <w:marLeft w:val="0"/>
      <w:marRight w:val="0"/>
      <w:marTop w:val="0"/>
      <w:marBottom w:val="0"/>
      <w:divBdr>
        <w:top w:val="none" w:sz="0" w:space="0" w:color="auto"/>
        <w:left w:val="none" w:sz="0" w:space="0" w:color="auto"/>
        <w:bottom w:val="none" w:sz="0" w:space="0" w:color="auto"/>
        <w:right w:val="none" w:sz="0" w:space="0" w:color="auto"/>
      </w:divBdr>
    </w:div>
    <w:div w:id="1405563668">
      <w:bodyDiv w:val="1"/>
      <w:marLeft w:val="0"/>
      <w:marRight w:val="0"/>
      <w:marTop w:val="0"/>
      <w:marBottom w:val="0"/>
      <w:divBdr>
        <w:top w:val="none" w:sz="0" w:space="0" w:color="auto"/>
        <w:left w:val="none" w:sz="0" w:space="0" w:color="auto"/>
        <w:bottom w:val="none" w:sz="0" w:space="0" w:color="auto"/>
        <w:right w:val="none" w:sz="0" w:space="0" w:color="auto"/>
      </w:divBdr>
    </w:div>
    <w:div w:id="1521817628">
      <w:bodyDiv w:val="1"/>
      <w:marLeft w:val="0"/>
      <w:marRight w:val="0"/>
      <w:marTop w:val="0"/>
      <w:marBottom w:val="0"/>
      <w:divBdr>
        <w:top w:val="none" w:sz="0" w:space="0" w:color="auto"/>
        <w:left w:val="none" w:sz="0" w:space="0" w:color="auto"/>
        <w:bottom w:val="none" w:sz="0" w:space="0" w:color="auto"/>
        <w:right w:val="none" w:sz="0" w:space="0" w:color="auto"/>
      </w:divBdr>
    </w:div>
    <w:div w:id="1542479808">
      <w:bodyDiv w:val="1"/>
      <w:marLeft w:val="0"/>
      <w:marRight w:val="0"/>
      <w:marTop w:val="0"/>
      <w:marBottom w:val="0"/>
      <w:divBdr>
        <w:top w:val="none" w:sz="0" w:space="0" w:color="auto"/>
        <w:left w:val="none" w:sz="0" w:space="0" w:color="auto"/>
        <w:bottom w:val="none" w:sz="0" w:space="0" w:color="auto"/>
        <w:right w:val="none" w:sz="0" w:space="0" w:color="auto"/>
      </w:divBdr>
    </w:div>
    <w:div w:id="1689523841">
      <w:bodyDiv w:val="1"/>
      <w:marLeft w:val="0"/>
      <w:marRight w:val="0"/>
      <w:marTop w:val="0"/>
      <w:marBottom w:val="0"/>
      <w:divBdr>
        <w:top w:val="none" w:sz="0" w:space="0" w:color="auto"/>
        <w:left w:val="none" w:sz="0" w:space="0" w:color="auto"/>
        <w:bottom w:val="none" w:sz="0" w:space="0" w:color="auto"/>
        <w:right w:val="none" w:sz="0" w:space="0" w:color="auto"/>
      </w:divBdr>
    </w:div>
    <w:div w:id="2140104688">
      <w:bodyDiv w:val="1"/>
      <w:marLeft w:val="0"/>
      <w:marRight w:val="0"/>
      <w:marTop w:val="0"/>
      <w:marBottom w:val="0"/>
      <w:divBdr>
        <w:top w:val="none" w:sz="0" w:space="0" w:color="auto"/>
        <w:left w:val="none" w:sz="0" w:space="0" w:color="auto"/>
        <w:bottom w:val="none" w:sz="0" w:space="0" w:color="auto"/>
        <w:right w:val="none" w:sz="0" w:space="0" w:color="auto"/>
      </w:divBdr>
      <w:divsChild>
        <w:div w:id="37612417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
        <w:div w:id="1539899980">
          <w:marLeft w:val="0"/>
          <w:marRight w:val="0"/>
          <w:marTop w:val="0"/>
          <w:marBottom w:val="0"/>
          <w:divBdr>
            <w:top w:val="none" w:sz="0" w:space="0" w:color="auto"/>
            <w:left w:val="none" w:sz="0" w:space="0" w:color="auto"/>
            <w:bottom w:val="none" w:sz="0" w:space="0" w:color="auto"/>
            <w:right w:val="none" w:sz="0" w:space="0" w:color="auto"/>
          </w:divBdr>
        </w:div>
        <w:div w:id="1931158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TITLE</vt:lpstr>
    </vt:vector>
  </TitlesOfParts>
  <Company>HP</Company>
  <LinksUpToDate>false</LinksUpToDate>
  <CharactersWithSpaces>46064</CharactersWithSpaces>
  <SharedDoc>false</SharedDoc>
  <HLinks>
    <vt:vector size="6" baseType="variant">
      <vt:variant>
        <vt:i4>4587567</vt:i4>
      </vt:variant>
      <vt:variant>
        <vt:i4>0</vt:i4>
      </vt:variant>
      <vt:variant>
        <vt:i4>0</vt:i4>
      </vt:variant>
      <vt:variant>
        <vt:i4>5</vt:i4>
      </vt:variant>
      <vt:variant>
        <vt:lpwstr>mailto:doriscrzk@yahoo.co.uk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korisnik</dc:creator>
  <cp:lastModifiedBy>Svjetlana</cp:lastModifiedBy>
  <cp:revision>2</cp:revision>
  <cp:lastPrinted>2015-05-28T08:47:00Z</cp:lastPrinted>
  <dcterms:created xsi:type="dcterms:W3CDTF">2015-12-09T14:22:00Z</dcterms:created>
  <dcterms:modified xsi:type="dcterms:W3CDTF">2015-12-09T14:22:00Z</dcterms:modified>
</cp:coreProperties>
</file>